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الحكم بوقف الإجراءات وبطلان التنفيذ لعدم حلول أجل الاستحقاق ورفع الحجوزات المترتبة. سنداً لأحكام المادة (6) من قانون التنفيذ وقانون التجارة وقانون أصول المحاكمات المدنية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