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الرجوع عن قرار الحبس الصادر بحق المستدعي (المحكوم عليه) فوراً، وتسطير كتاب كف طلب وإخلاء سبيل للمركز الأمني / إدارة مراكز الإصلاح والتأهيل وكف البحث الفوري عنه. سنداً لأحكام المادة (22) من قانون التنفيذ الأردني المعدل بالقانون رقم (9) لسنة 2022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