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الموافقة على رفع إشارة الحجز التنفيذي الموقعة على المال الموصوف وتسطير الكتب اللازمة للجهة المختصة لرفع الإشارة وشطبها فوراً.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