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إرفاق القرار الاستئنافي المصدق بملف الدعوى، والمثابرة على التنفيذ والسير بالإجراءات التنفيذية المتوقفة فوراً وتسطير الكتب اللازمة لذلك. سنداً لأحكام قانون التنفيذ الأردني وقانون أصول المحاكمات المدنية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