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كف الطلب والتعميم الصادر بحق المستدعي وتسطير الكتب اللازمة للأمن العام والإقامة والحدود فوراً. سنداً لأحكام المادة (22) من قانون التنفيذ الأردني المعدل بالقانون رقم (9) لسنة 2022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