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توريد نص إعلان المزاد ونشره في الصحف وتحديد موعد جلسة المزاد في كراج الحجز. سنداً لأحكام قانون التنفيذ الأردني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