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تدقيق قيود المحاسبة والموافقة على صرف ورد المبلغ الفائض البالغ (...) دينار وإصدار الشيك أو التحويل البنكي لحساب المستدعي. سنداً لأحكام قانون التنفيذ والأنظمة المالية القضائية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