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تثبيت إسقاط الدعوى التنفيذية الماثلة نهائياً وإسقاط كافة التبعات والقرارات الصادرة بموجبها، ورفع كافة إشارات الحجز وموانع السفر وكف الطلب عن المحكوم عليه وتسطير الكتب اللازمة للجهات المعنية. سنداً لأحكام قانون التنفيذ الأردني وقانون أصول المحاكمات المدنية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