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إعفاء المستدعي من إيداع ثمن المزاد نقداً وإجراء المقاصة القانونية مع دينه المحكوم به وتكليفه فقط بدفع الرسوم والمصاريف المستحقة. سنداً لأحكام المادة (83)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