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إصدار القرار بحبس المحكوم عليه استناداً لأحكام قانون التنفيذ، وتسطير مذكرة حبس وتعميم موجهة لمديرية الأمن العام لتنفيذ القرار وإلقاء القبض عليه. سنداً لأحكام المادة (22) من قانون التنفيذ الأردني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