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طرح المركبة للبيع بالمزاد العلني وتحديد موعد المزاد وإصدار إعلانات النشر القانونية في الصحف المحلية ومخاطبة إدارة الترخيص.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