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نشر إعلان المزاد في الصحف اليومية وتعليقه في كراج الحجز وأماكن النشر الرسمية.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