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إصدار قرار الإحالة القطعية للعقار على المزاود الأخير بالبدل المستقر عليه وتثبيت الشراء أصولياً وتسجيله لدى دائرة الأراضي والمساحة. سنداً لأحكام المادة (80) وما بعدها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