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الحكم ببطلان السند التنفيذي وبطلان الإجراءات المتخذة بموجبه وإسقاط الدعوى التنفيذية ورفع كافة الحجوزات. سنداً لأحكام المواد (6) و (13) من قانون التنفيذ وقانون التجارة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