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قبول الاستئناف شكلاً لوروده ضمن المهلة القانونية، ووفي الموضوع فسخ القرار الإجرائي وإعادة الملف لمتابعة السير بالإجراءات وفق أحكام القانون. سنداً لأحكام المادة (5) والفقرات المرتبطة بها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