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إبطال ورقة التبليغ وشرح المحضر واعتبارها كأن لم تكن وإعادة التبليغ حسب الأصول القانونية. سنداً لأحكام قانون أصول المحاكمات المدنية وقانون التنفيذ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