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إعلان اكتفاء المحكوم له بالمبلغ المسدد وإنهاء الملاحقة التنفيذية في هذه القضية، ورد وإعادة أية مبالغ فائضة ومودعة في أمانات الدعوى لصالح المحكوم عليه، ورفع كافة إشارات الحجز وموانع السفر وكف الطلب.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