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قبول الاعتراض الإجرائي وتعديل أو إلغاء الإجراء المطعون فيه وإصدار التوجيهات القانونية السليمة.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