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التكرم بالرجوع عن القرار المذكور وإصدار القرار البديل بالسير بالإجراءات وفق أحكام القانون. سنداً لأحكام قانون التنفيذ وقواعد الإجراءات القضائية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