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نشر إعلان المزاد بعد الإحالة المؤقتة في الصحف اليومية وتحديد آخر موعد لتقديم المزاودات. سنداً لأحكام المادة (79) من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