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قبول الاستئناف شكلاً لتقديمه ضمن المدة القانونية ومستوفياً لشروطه، ووفي الموضوع فسخ القرار المستأنف وإصدار القرار القانوني السليم برد طلب المحكوم له وإلغاء كافة آثاره. سنداً لأحكام المادة (5) من قانون التنفيذ الأردني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