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تثبيت واعتماد قائمة التوزيع النهائية وصرف المبالغ المقررة لكل دائن حسب الأصول والأنظمة المحاسبية.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