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00" w:after="150"/>
      </w:pPr>
      <w:r>
        <w:t xml:space="preserve">وردت مشروحات صادرة عن إدارة ترخيص السواقين والمركبات / البنك المركزي الأردني</w:t>
      </w:r>
    </w:p>
    <w:p>
      <w:pPr>
        <w:bidi/>
        <w:spacing w:before="140" w:after="220"/>
      </w:pPr>
      <w:r>
        <w:t xml:space="preserve">ألتمس من رئاسة التنفيذ الموقرة تسطير كتاب رسمي لإدارة ترخيص السواقين والمركبات لنقل ملكية المركبة باسم المشتري وإصدار رخصة اقتناء باسمه خالية من الحجوزات والرهونات السابقة. سنداً لأحكام قانون التنفيذ الأردني ونظام الترخيص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