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طرح الحصص الشائعة العائدة للمحكوم عليه للبيع بالمزاد العلني وتحديد موعد الجلسة ونشر الإعلانات القانونية وتبليغ باقي الشركاء في العقار إشعار البيع. سنداً لأحكام قانون التنفيذ الأردني وقانون الملكية العقارية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