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عقد المصالحة في محضر الدعوى وإعطائه قوة السند التنفيذي ووقف كافة الإجراءات بحق المحكوم عليه وفقاً لبنود المصالحة. سنداً لأحكام قانون التنفيذ الأردني والقانون المدني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