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00" w:after="150"/>
      </w:pPr>
      <w:r>
        <w:t xml:space="preserve">وردت مشروحات صادرة عن إدارة ترخيص السواقين والمركبات / البنك المركزي الأردني</w:t>
      </w:r>
    </w:p>
    <w:p>
      <w:pPr>
        <w:bidi/>
        <w:spacing w:before="140" w:after="220"/>
      </w:pPr>
      <w:r>
        <w:t xml:space="preserve">ألتمس من رئاسة التنفيذ الموقرة تسطير كتاب لإدارة ترخيص السواقين والمركبات لوضع إشارة الحجز التنفيذي على قيد المركبة ومنع نقل ملكيتها أو رهنها، وتسطير كتاب لمديرية الأمن العام / إدارة الدوريات الخارجية وإدارة السير للتعميم على المركبة وضبطها وحجزها وإيداعها في كراج الحجز التابع للمحكمة. سنداً لأحكام قانون التنفيذ ونظام السير والمركبات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