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تصحيح وتعديل بيانات الطرف في السجلات الإلكترونية للمحكمة وتثبيت البيانات الصحيحة ومتابعة الإجراءات بموجبها. سنداً لأحكام قانون التنفيذ وقانون أصول المحاكمات المدنية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