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تدوين إنكار الدين وإحالة النزاع إلى المحكمة المختصة وفقاً لأحكام قانون التنفيذ ووقف الإجراءات. سنداً لأحكام المادة (13) من قانون التنفيذ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