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00" w:after="150"/>
      </w:pPr>
      <w:r>
        <w:t xml:space="preserve">وردت مشروحات صادرة عن إدارة ترخيص السواقين والمركبات / البنك المركزي الأردني</w:t>
      </w:r>
    </w:p>
    <w:p>
      <w:pPr>
        <w:bidi/>
        <w:spacing w:before="140" w:after="220"/>
      </w:pPr>
      <w:r>
        <w:t xml:space="preserve">ألتمس من رئاسة التنفيذ الموقرة إحالة المركبة إحالة قطعية على المزاود الأخير، وتسطير كتاب رسمي موجه إلى إدارة ترخيص السواقين والمركبات لنقل ملكية وتسجيل المركبة باسم المزاود الأخير خالية من كافة الرهونات والحجوزات السابقة وتسليمه المركبة. سنداً لأحكام قانون التنفيذ الأردني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