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إصدار قرار بحبس المحكوم عليه لمدة (90) يوماً أو للمدة القانونية لنكوله عن الالتزام بالتسوية، وتسطير مذكرة إحضار وحبس وتعميم بحقه لدى مديرية الأمن العام وإدارة الإقامة والحدود. سنداً لأحكام المادة (22) و (23) من 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