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تحديد موعد لإجراء معاملة إخلاء العقار المأجور وتسليمه للمحكوم له خالياً من الشواغل، وإيقاع الحجز التنفيذي على الأثاث والمنقولات العائدة للمحكوم عليه المتواجدة داخل المأجور ضماناً لدين الأجور والمصاريف وتعيين حارس قضائي عليها تمهيداً لبيعها بالمزاد العلني. سنداً لأحكام المادتان (40) و (43) من قانون التنفيذ الأردني رقم 36 لسنة 2002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