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صرف واسترداد مبلغ نفقات ومصاريف المزاد البالغة (...) دينار للمستدعي بصفة امتياز من أصل الثمن المودع.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