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إيقاع الحجز التنفيذي على أموال المحكوم عليه المنقولة وغير المنقولة أينما وجدت وتسطير الكتب اللازمة للجهات المعنية. سنداً لأحكام قانون التنفيذ الأردني رقم 36 لسنة 2002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