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نشر إعلان الإحالة القطعية الموسع في صحيفتين يوميتين محليتين حسب الأصول. سنداً لأحكام قانون التنفيذ الأردني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