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00" w:after="150"/>
      </w:pPr>
      <w:r>
        <w:t xml:space="preserve">وردت مشروحات صادرة عن إدارة ترخيص السواقين والمركبات / البنك المركزي الأردني</w:t>
      </w:r>
    </w:p>
    <w:p>
      <w:pPr>
        <w:bidi/>
        <w:spacing w:before="140" w:after="220"/>
      </w:pPr>
      <w:r>
        <w:t xml:space="preserve">ألتمس من رئاسة التنفيذ الموقرة تسطير كتب رسمية عبر نظام الربط الإلكتروني / البنك المركزي الأردني وكافة البنوك العاملة لوضع إشارة الحجز التنفيذي على أرصدة وحسابات المحكوم عليه بحدود المبلغ المطالب به وتوريدها إلى حساب الدعوى. سنداً لأحكام المادة (46) وما بعدها من قانون التنفيذ الأردني (حجز ما للمدين لدى الغير)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