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إلى مديرية تسجيل الأراضي لوضع إشارة الحجز التنفيذي على حصص المحكوم عليه في العقار بحدود مبلغ المطالبة. سنداً لأحكام قانون التنفيذ وقانون الملكية العقارية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