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إصدار وتوريد إعلان البيع بالمزاد العلني للعقار لغايات نشره بالصحف اليومية المحلية وتعليقه حسب الأصول القانونية. سنداً لأحكام المواد (74-77) من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