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الموافقة على صرف ورد المبلغ المودع وإصدار أمر الصرف البنكي. سنداً لأحكام الأنظمة المالية وقانون التنفيذ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