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تقدير أتعاب الخبير العادلة والموافقة على صرفها من المبالغ المودعة كأمانة خبرة في صندوق المحكمة وتضمينها للمحكوم عليه. سنداً لأحكام نظام الخبراء وقانون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