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29B6" w14:textId="5642842B" w:rsidR="007F4ADC" w:rsidRDefault="009D27C6" w:rsidP="009D27C6">
      <w:pPr>
        <w:pStyle w:val="Titre1"/>
      </w:pPr>
      <w:r w:rsidRPr="009D27C6">
        <w:t>Évaluation de compatibilité : Modélisation de</w:t>
      </w:r>
      <w:r>
        <w:t xml:space="preserve"> </w:t>
      </w:r>
      <w:r w:rsidRPr="009D27C6">
        <w:t xml:space="preserve">l'infrastructure hybride cloud pour </w:t>
      </w:r>
      <w:proofErr w:type="spellStart"/>
      <w:r w:rsidRPr="009D27C6">
        <w:t>InduTechData</w:t>
      </w:r>
      <w:proofErr w:type="spellEnd"/>
    </w:p>
    <w:p w14:paraId="203E000D" w14:textId="77777777" w:rsidR="009D27C6" w:rsidRDefault="009D27C6" w:rsidP="009D27C6"/>
    <w:p w14:paraId="14E1CD32" w14:textId="18188F5C" w:rsidR="009D27C6" w:rsidRDefault="009D27C6" w:rsidP="009D27C6">
      <w:pPr>
        <w:pStyle w:val="Titre2"/>
        <w:numPr>
          <w:ilvl w:val="0"/>
          <w:numId w:val="2"/>
        </w:numPr>
      </w:pPr>
      <w:r w:rsidRPr="009D27C6">
        <w:t>Sélection du système de stockage pour les données non structurées</w:t>
      </w:r>
    </w:p>
    <w:p w14:paraId="333A1E61" w14:textId="7522679F" w:rsidR="009D27C6" w:rsidRDefault="009D27C6" w:rsidP="009D27C6">
      <w:pPr>
        <w:ind w:left="360"/>
      </w:pPr>
      <w:r w:rsidRPr="009D27C6">
        <w:t xml:space="preserve">Pour répondre à l'augmentation constante de 50 Go/mois de données IoT en temps réel et pour soulager la baie SAN actuelle qui sature avec ses 10 To de données non structurées (logs, IoT, fichiers utilisateurs), le choix se porte sur le service de stockage objet Amazon S3 (Simple Storage Service). S3 offre une scalabilité quasi infinie, indispensable pour absorber la croissance continue des données IoT sans nécessiter de lourds investissements matériels initiaux. De plus, il garantit une haute durabilité et s'intègre nativement à l'écosystème AWS (qui hébergera également notre plateforme de streaming), offrant ainsi une solution de stockage économique, hautement disponible et sécurisée.   </w:t>
      </w:r>
    </w:p>
    <w:p w14:paraId="6D15C7AE" w14:textId="77777777" w:rsidR="00D07CD7" w:rsidRDefault="00D07CD7" w:rsidP="009D27C6">
      <w:pPr>
        <w:ind w:left="360"/>
      </w:pPr>
    </w:p>
    <w:p w14:paraId="677391F6" w14:textId="77777777" w:rsidR="00D07CD7" w:rsidRPr="00D07CD7" w:rsidRDefault="00D07CD7" w:rsidP="00D07CD7">
      <w:pPr>
        <w:ind w:left="360"/>
        <w:rPr>
          <w:rFonts w:asciiTheme="majorHAnsi" w:eastAsiaTheme="majorEastAsia" w:hAnsiTheme="majorHAnsi" w:cstheme="majorBidi"/>
          <w:color w:val="0F4761" w:themeColor="accent1" w:themeShade="BF"/>
          <w:sz w:val="32"/>
          <w:szCs w:val="32"/>
        </w:rPr>
      </w:pPr>
      <w:r w:rsidRPr="00D07CD7">
        <w:rPr>
          <w:rFonts w:asciiTheme="majorHAnsi" w:eastAsiaTheme="majorEastAsia" w:hAnsiTheme="majorHAnsi" w:cstheme="majorBidi"/>
          <w:color w:val="0F4761" w:themeColor="accent1" w:themeShade="BF"/>
          <w:sz w:val="32"/>
          <w:szCs w:val="32"/>
        </w:rPr>
        <w:t>2. Choix de l'entrepôt de données (Data Warehouse)</w:t>
      </w:r>
    </w:p>
    <w:p w14:paraId="57B3895F" w14:textId="77777777" w:rsidR="00D07CD7" w:rsidRDefault="00D07CD7" w:rsidP="00D07CD7">
      <w:pPr>
        <w:ind w:left="360"/>
      </w:pPr>
      <w:r w:rsidRPr="00D07CD7">
        <w:t>Pour héberger et analyser les 40 To de données critiques structurées (issues de l'ERP et du CRM) actuellement gérées par le cluster SQL Server on-</w:t>
      </w:r>
      <w:proofErr w:type="spellStart"/>
      <w:r w:rsidRPr="00D07CD7">
        <w:t>premise</w:t>
      </w:r>
      <w:proofErr w:type="spellEnd"/>
      <w:r w:rsidRPr="00D07CD7">
        <w:t xml:space="preserve">, la solution </w:t>
      </w:r>
      <w:r w:rsidRPr="00D07CD7">
        <w:rPr>
          <w:b/>
          <w:bCs/>
        </w:rPr>
        <w:t>Amazon Redshift</w:t>
      </w:r>
      <w:r w:rsidRPr="00D07CD7">
        <w:t xml:space="preserve"> est retenue comme entrepôt de données. Ce Data Warehouse cloud est spécialement conçu pour exécuter des requêtes analytiques complexes sur de très grands volumes de données avec de hautes performances. De plus, sa capacité à s'interfacer facilement avec Amazon S3 et la future plateforme de streaming permettra à </w:t>
      </w:r>
      <w:proofErr w:type="spellStart"/>
      <w:r w:rsidRPr="00D07CD7">
        <w:t>InduTechData</w:t>
      </w:r>
      <w:proofErr w:type="spellEnd"/>
      <w:r w:rsidRPr="00D07CD7">
        <w:t xml:space="preserve"> de consolider l'ensemble de son patrimoine de données pour ses analyses décisionnelles. </w:t>
      </w:r>
    </w:p>
    <w:p w14:paraId="71C2FEDA" w14:textId="77777777" w:rsidR="00B6341A" w:rsidRDefault="00B6341A" w:rsidP="00D07CD7">
      <w:pPr>
        <w:ind w:left="360"/>
      </w:pPr>
    </w:p>
    <w:p w14:paraId="5B987079" w14:textId="77777777" w:rsidR="00B6341A" w:rsidRPr="00B6341A" w:rsidRDefault="00B6341A" w:rsidP="00B6341A">
      <w:pPr>
        <w:ind w:left="360"/>
        <w:rPr>
          <w:rFonts w:asciiTheme="majorHAnsi" w:eastAsiaTheme="majorEastAsia" w:hAnsiTheme="majorHAnsi" w:cstheme="majorBidi"/>
          <w:color w:val="0F4761" w:themeColor="accent1" w:themeShade="BF"/>
          <w:sz w:val="32"/>
          <w:szCs w:val="32"/>
        </w:rPr>
      </w:pPr>
      <w:r w:rsidRPr="00B6341A">
        <w:rPr>
          <w:rFonts w:asciiTheme="majorHAnsi" w:eastAsiaTheme="majorEastAsia" w:hAnsiTheme="majorHAnsi" w:cstheme="majorBidi"/>
          <w:color w:val="0F4761" w:themeColor="accent1" w:themeShade="BF"/>
          <w:sz w:val="32"/>
          <w:szCs w:val="32"/>
        </w:rPr>
        <w:t>3. Adoption de la plateforme de streaming</w:t>
      </w:r>
    </w:p>
    <w:p w14:paraId="61F39B85" w14:textId="77777777" w:rsidR="00E877D9" w:rsidRDefault="00E877D9" w:rsidP="00E877D9">
      <w:pPr>
        <w:ind w:left="360"/>
      </w:pPr>
      <w:r w:rsidRPr="00E877D9">
        <w:t xml:space="preserve">Pour gérer l'ingestion de la nouvelle charge de 50 Go/mois de données IoT en temps réel, la plateforme de streaming </w:t>
      </w:r>
      <w:proofErr w:type="spellStart"/>
      <w:r w:rsidRPr="00E877D9">
        <w:rPr>
          <w:b/>
          <w:bCs/>
        </w:rPr>
        <w:t>Redpanda</w:t>
      </w:r>
      <w:proofErr w:type="spellEnd"/>
      <w:r w:rsidRPr="00E877D9">
        <w:t xml:space="preserve"> est adoptée. Intégrée au sein de notre environnement AWS, </w:t>
      </w:r>
      <w:proofErr w:type="spellStart"/>
      <w:r w:rsidRPr="00E877D9">
        <w:t>Redpanda</w:t>
      </w:r>
      <w:proofErr w:type="spellEnd"/>
      <w:r w:rsidRPr="00E877D9">
        <w:t xml:space="preserve"> représente une alternative moderne et hautement performante, tout en étant 100 % compatible avec l'écosystème Kafka. Sa légèreté et sa rapidité d'exécution permettront de capter efficacement les flux d'événements continus et les tickets clients, assurant ainsi une transition fluide vers le traitement (via </w:t>
      </w:r>
      <w:proofErr w:type="spellStart"/>
      <w:r w:rsidRPr="00E877D9">
        <w:t>PySpark</w:t>
      </w:r>
      <w:proofErr w:type="spellEnd"/>
      <w:r w:rsidRPr="00E877D9">
        <w:t xml:space="preserve">) et le stockage à long terme de ces données brutes au sein du Data Lake sur Amazon S3. </w:t>
      </w:r>
    </w:p>
    <w:p w14:paraId="1EF2B92F" w14:textId="77777777" w:rsidR="00A77671" w:rsidRPr="00E877D9" w:rsidRDefault="00A77671" w:rsidP="00E877D9">
      <w:pPr>
        <w:ind w:left="360"/>
      </w:pPr>
    </w:p>
    <w:p w14:paraId="6430C086" w14:textId="77777777" w:rsidR="00A77671" w:rsidRPr="00A77671" w:rsidRDefault="00A77671" w:rsidP="00A77671">
      <w:pPr>
        <w:ind w:left="360"/>
        <w:rPr>
          <w:rFonts w:asciiTheme="majorHAnsi" w:eastAsiaTheme="majorEastAsia" w:hAnsiTheme="majorHAnsi" w:cstheme="majorBidi"/>
          <w:color w:val="0F4761" w:themeColor="accent1" w:themeShade="BF"/>
          <w:sz w:val="32"/>
          <w:szCs w:val="32"/>
        </w:rPr>
      </w:pPr>
      <w:r w:rsidRPr="00A77671">
        <w:rPr>
          <w:rFonts w:asciiTheme="majorHAnsi" w:eastAsiaTheme="majorEastAsia" w:hAnsiTheme="majorHAnsi" w:cstheme="majorBidi"/>
          <w:color w:val="0F4761" w:themeColor="accent1" w:themeShade="BF"/>
          <w:sz w:val="32"/>
          <w:szCs w:val="32"/>
        </w:rPr>
        <w:lastRenderedPageBreak/>
        <w:t>4. Sécurisation et gestion des accès</w:t>
      </w:r>
    </w:p>
    <w:p w14:paraId="3D56BD48" w14:textId="77777777" w:rsidR="00A77671" w:rsidRPr="00A77671" w:rsidRDefault="00A77671" w:rsidP="00A77671">
      <w:pPr>
        <w:ind w:left="360"/>
      </w:pPr>
      <w:r w:rsidRPr="00A77671">
        <w:t>Pour sécuriser la nouvelle infrastructure cloud tout en capitalisant sur le serveur Active Directory (AD) on-</w:t>
      </w:r>
      <w:proofErr w:type="spellStart"/>
      <w:r w:rsidRPr="00A77671">
        <w:t>premise</w:t>
      </w:r>
      <w:proofErr w:type="spellEnd"/>
      <w:r w:rsidRPr="00A77671">
        <w:t xml:space="preserve"> existant, la solution </w:t>
      </w:r>
      <w:r w:rsidRPr="00A77671">
        <w:rPr>
          <w:b/>
          <w:bCs/>
        </w:rPr>
        <w:t>AWS IAM (Identity and Access Management)</w:t>
      </w:r>
      <w:r w:rsidRPr="00A77671">
        <w:t xml:space="preserve"> couplée à </w:t>
      </w:r>
      <w:r w:rsidRPr="00A77671">
        <w:rPr>
          <w:b/>
          <w:bCs/>
        </w:rPr>
        <w:t>AWS IAM Identity Center</w:t>
      </w:r>
      <w:r w:rsidRPr="00A77671">
        <w:t xml:space="preserve"> (via un AD </w:t>
      </w:r>
      <w:proofErr w:type="spellStart"/>
      <w:r w:rsidRPr="00A77671">
        <w:t>Connector</w:t>
      </w:r>
      <w:proofErr w:type="spellEnd"/>
      <w:r w:rsidRPr="00A77671">
        <w:t>) est retenue. Cette approche permet de fédérer les identités : la gestion des accès reste centralisée et totalement homogène entre l'AD local et le service cloud. Les utilisateurs et les applications pourront ainsi s'authentifier de manière unifiée pour accéder aux ressources de stockage et d'analyse. En complément, pour garantir la sécurité et la conformité des flux de données sensibles lors de la synchronisation depuis le SI on-</w:t>
      </w:r>
      <w:proofErr w:type="spellStart"/>
      <w:r w:rsidRPr="00A77671">
        <w:t>premise</w:t>
      </w:r>
      <w:proofErr w:type="spellEnd"/>
      <w:r w:rsidRPr="00A77671">
        <w:t xml:space="preserve">, tous les transferts seront chiffrés via les protocoles SSL/TLS. </w:t>
      </w:r>
    </w:p>
    <w:p w14:paraId="08508EDD" w14:textId="77777777" w:rsidR="00B6341A" w:rsidRDefault="00B6341A" w:rsidP="00D07CD7">
      <w:pPr>
        <w:ind w:left="360"/>
      </w:pPr>
    </w:p>
    <w:p w14:paraId="433053FD" w14:textId="77777777" w:rsidR="009B2067" w:rsidRPr="009B2067" w:rsidRDefault="009B2067" w:rsidP="009B2067">
      <w:pPr>
        <w:ind w:left="360"/>
        <w:rPr>
          <w:rFonts w:asciiTheme="majorHAnsi" w:eastAsiaTheme="majorEastAsia" w:hAnsiTheme="majorHAnsi" w:cstheme="majorBidi"/>
          <w:color w:val="0F4761" w:themeColor="accent1" w:themeShade="BF"/>
          <w:sz w:val="32"/>
          <w:szCs w:val="32"/>
        </w:rPr>
      </w:pPr>
      <w:r w:rsidRPr="009B2067">
        <w:rPr>
          <w:rFonts w:asciiTheme="majorHAnsi" w:eastAsiaTheme="majorEastAsia" w:hAnsiTheme="majorHAnsi" w:cstheme="majorBidi"/>
          <w:color w:val="0F4761" w:themeColor="accent1" w:themeShade="BF"/>
          <w:sz w:val="32"/>
          <w:szCs w:val="32"/>
        </w:rPr>
        <w:t>5. Évaluation de la compatibilité avec l'environnement SI existant</w:t>
      </w:r>
    </w:p>
    <w:p w14:paraId="3012ED73" w14:textId="77777777" w:rsidR="009B2067" w:rsidRPr="009B2067" w:rsidRDefault="009B2067" w:rsidP="009B2067">
      <w:pPr>
        <w:ind w:left="360"/>
        <w:rPr>
          <w:b/>
          <w:bCs/>
        </w:rPr>
      </w:pPr>
      <w:r w:rsidRPr="009B2067">
        <w:rPr>
          <w:b/>
          <w:bCs/>
        </w:rPr>
        <w:t>5.1 Sécurité, conformité et gestion des identités</w:t>
      </w:r>
    </w:p>
    <w:p w14:paraId="612C14C4" w14:textId="77777777" w:rsidR="009B2067" w:rsidRPr="009B2067" w:rsidRDefault="009B2067" w:rsidP="009B2067">
      <w:pPr>
        <w:ind w:left="360"/>
      </w:pPr>
      <w:r w:rsidRPr="009B2067">
        <w:t>L'intégration des services cloud avec le SI on-</w:t>
      </w:r>
      <w:proofErr w:type="spellStart"/>
      <w:r w:rsidRPr="009B2067">
        <w:t>premise</w:t>
      </w:r>
      <w:proofErr w:type="spellEnd"/>
      <w:r w:rsidRPr="009B2067">
        <w:t xml:space="preserve"> est conçue pour garantir un niveau de sécurité maximal. La sécurité et la conformité des flux de données sensibles sont garanties par l'utilisation systématique des protocoles de chiffrement SSL/TLS pour tous les transferts de données en transit. Que ce soit pour l'ingestion des flux IoT, la migration via AWS DMS ou le transfert des fichiers depuis la baie SAN, aucune donnée ne circule en clair. Concernant les accès, la gestion des identités est totalement homogène entre le serveur Active Directory (AD) local et le service cloud grâce à la mise en place de la fédération via AWS IAM Identity Center. Les utilisateurs conservent leurs identifiants habituels (SSO), ce qui centralise la politique de sécurité et réduit les risques liés à la multiplication des comptes. </w:t>
      </w:r>
    </w:p>
    <w:p w14:paraId="732581AF" w14:textId="77777777" w:rsidR="009B2067" w:rsidRPr="009B2067" w:rsidRDefault="009B2067" w:rsidP="009B2067">
      <w:pPr>
        <w:ind w:left="360"/>
        <w:rPr>
          <w:b/>
          <w:bCs/>
        </w:rPr>
      </w:pPr>
      <w:r w:rsidRPr="009B2067">
        <w:rPr>
          <w:b/>
          <w:bCs/>
        </w:rPr>
        <w:t>5.2 Interopérabilité et automatisation des flux</w:t>
      </w:r>
    </w:p>
    <w:p w14:paraId="00ED18A7" w14:textId="77777777" w:rsidR="009B2067" w:rsidRPr="009B2067" w:rsidRDefault="009B2067" w:rsidP="009B2067">
      <w:pPr>
        <w:ind w:left="360"/>
      </w:pPr>
      <w:r w:rsidRPr="009B2067">
        <w:t xml:space="preserve">L'architecture hybride repose sur une forte capacité d'intégration. L'interopérabilité entre </w:t>
      </w:r>
      <w:proofErr w:type="spellStart"/>
      <w:r w:rsidRPr="009B2067">
        <w:t>Redpanda</w:t>
      </w:r>
      <w:proofErr w:type="spellEnd"/>
      <w:r w:rsidRPr="009B2067">
        <w:t xml:space="preserve"> et le cluster SQL Server est assurée grâce à la compatibilité native de </w:t>
      </w:r>
      <w:proofErr w:type="spellStart"/>
      <w:r w:rsidRPr="009B2067">
        <w:t>Redpanda</w:t>
      </w:r>
      <w:proofErr w:type="spellEnd"/>
      <w:r w:rsidRPr="009B2067">
        <w:t xml:space="preserve"> avec l'écosystème Apache Kafka. Si le besoin d'analyser les données transactionnelles (ERP/CRM) en temps réel se présente à l'avenir, il sera très simple de connecter le SQL Server à </w:t>
      </w:r>
      <w:proofErr w:type="spellStart"/>
      <w:r w:rsidRPr="009B2067">
        <w:t>Redpanda</w:t>
      </w:r>
      <w:proofErr w:type="spellEnd"/>
      <w:r w:rsidRPr="009B2067">
        <w:t xml:space="preserve"> via des connecteurs standards (comme Kafka </w:t>
      </w:r>
      <w:proofErr w:type="spellStart"/>
      <w:r w:rsidRPr="009B2067">
        <w:t>Connect</w:t>
      </w:r>
      <w:proofErr w:type="spellEnd"/>
      <w:r w:rsidRPr="009B2067">
        <w:t xml:space="preserve"> / </w:t>
      </w:r>
      <w:proofErr w:type="spellStart"/>
      <w:r w:rsidRPr="009B2067">
        <w:t>Debezium</w:t>
      </w:r>
      <w:proofErr w:type="spellEnd"/>
      <w:r w:rsidRPr="009B2067">
        <w:t xml:space="preserve">) pour capturer les changements (CDC) sous forme de flux d'événements. Dans l'architecture actuelle, tous les flux de données sont automatisés. AWS DMS gère de manière autonome la synchronisation continue (CDC) depuis le SQL Server vers Amazon S3, tandis que </w:t>
      </w:r>
      <w:proofErr w:type="spellStart"/>
      <w:r w:rsidRPr="009B2067">
        <w:t>Redpanda</w:t>
      </w:r>
      <w:proofErr w:type="spellEnd"/>
      <w:r w:rsidRPr="009B2067">
        <w:t xml:space="preserve"> ingère et route le flux constant des données IoT sans intervention manuelle. </w:t>
      </w:r>
    </w:p>
    <w:p w14:paraId="22D77EBC" w14:textId="77777777" w:rsidR="009B2067" w:rsidRPr="009B2067" w:rsidRDefault="009B2067" w:rsidP="009B2067">
      <w:pPr>
        <w:ind w:left="360"/>
        <w:rPr>
          <w:b/>
          <w:bCs/>
        </w:rPr>
      </w:pPr>
      <w:r w:rsidRPr="009B2067">
        <w:rPr>
          <w:b/>
          <w:bCs/>
        </w:rPr>
        <w:t>5.3 Scalabilité de l'architecture</w:t>
      </w:r>
    </w:p>
    <w:p w14:paraId="4025B163" w14:textId="77777777" w:rsidR="009B2067" w:rsidRDefault="009B2067" w:rsidP="009B2067">
      <w:pPr>
        <w:ind w:left="360"/>
      </w:pPr>
      <w:r w:rsidRPr="009B2067">
        <w:t xml:space="preserve">La scalabilité de l'architecture cloud est démontrée par sa capacité à absorber l'augmentation de 50 Go/mois de données IoT en temps réel. L'utilisation d'Amazon </w:t>
      </w:r>
      <w:r w:rsidRPr="009B2067">
        <w:lastRenderedPageBreak/>
        <w:t xml:space="preserve">S3 comme Data Lake offre un stockage d'objets virtuellement illimité, permettant de désengorger définitivement la baie de stockage SAN locale de 10 To. Du côté analytique, Amazon Redshift permet d'ajuster dynamiquement la taille du cluster (scale-up ou scale-out) pour traiter efficacement les 40 To de données critiques issues du SQL Server, garantissant des performances constantes même si le volume de données double dans les prochaines années. </w:t>
      </w:r>
    </w:p>
    <w:p w14:paraId="776813BB" w14:textId="77777777" w:rsidR="00CD74C7" w:rsidRDefault="00CD74C7" w:rsidP="009B2067">
      <w:pPr>
        <w:ind w:left="360"/>
      </w:pPr>
    </w:p>
    <w:p w14:paraId="1DCB8F7C" w14:textId="77777777" w:rsidR="00CD74C7" w:rsidRPr="00CD74C7" w:rsidRDefault="00CD74C7" w:rsidP="00CD74C7">
      <w:pPr>
        <w:ind w:left="360"/>
        <w:rPr>
          <w:b/>
          <w:bCs/>
        </w:rPr>
      </w:pPr>
      <w:r w:rsidRPr="00CD74C7">
        <w:rPr>
          <w:b/>
          <w:bCs/>
        </w:rPr>
        <w:t>5.4 Estimation des coûts par composant et recommandations de surveillance</w:t>
      </w:r>
    </w:p>
    <w:p w14:paraId="254C40EB" w14:textId="77777777" w:rsidR="00CD74C7" w:rsidRPr="00CD74C7" w:rsidRDefault="00CD74C7" w:rsidP="00CD74C7">
      <w:pPr>
        <w:ind w:left="360"/>
      </w:pPr>
      <w:r w:rsidRPr="00CD74C7">
        <w:t>Le passage à cette architecture hybride modifie profondément la structure financière et opérationnelle de la gestion des données, en passant d'un modèle d'investissement matériel à un modèle de facturation à l'usage (OPEX).</w:t>
      </w:r>
    </w:p>
    <w:p w14:paraId="79634C09" w14:textId="77777777" w:rsidR="00CD74C7" w:rsidRPr="00CD74C7" w:rsidRDefault="00CD74C7" w:rsidP="00F7002A">
      <w:pPr>
        <w:ind w:left="360" w:firstLine="348"/>
      </w:pPr>
      <w:r w:rsidRPr="00CD74C7">
        <w:rPr>
          <w:b/>
          <w:bCs/>
        </w:rPr>
        <w:t>1. Estimation des coûts initiaux (CAPEX)</w:t>
      </w:r>
    </w:p>
    <w:p w14:paraId="7168FF36" w14:textId="77777777" w:rsidR="00CD74C7" w:rsidRPr="00CD74C7" w:rsidRDefault="00CD74C7" w:rsidP="00CD74C7">
      <w:pPr>
        <w:ind w:left="360"/>
      </w:pPr>
      <w:r w:rsidRPr="00CD74C7">
        <w:t xml:space="preserve">Les coûts initiaux d'infrastructure sur AWS sont de </w:t>
      </w:r>
      <w:r w:rsidRPr="00CD74C7">
        <w:rPr>
          <w:b/>
          <w:bCs/>
        </w:rPr>
        <w:t>0 €</w:t>
      </w:r>
      <w:r w:rsidRPr="00CD74C7">
        <w:t>. Contrairement au SI on-</w:t>
      </w:r>
      <w:proofErr w:type="spellStart"/>
      <w:r w:rsidRPr="00CD74C7">
        <w:t>premise</w:t>
      </w:r>
      <w:proofErr w:type="spellEnd"/>
      <w:r w:rsidRPr="00CD74C7">
        <w:t xml:space="preserve"> qui nécessite l'achat coûteux de nouveaux serveurs physiques ou de tiroirs disques pour pallier la saturation de la baie SAN, le cloud ne demande aucun investissement matériel. Les transferts de données entrants (</w:t>
      </w:r>
      <w:proofErr w:type="spellStart"/>
      <w:r w:rsidRPr="00CD74C7">
        <w:t>Ingress</w:t>
      </w:r>
      <w:proofErr w:type="spellEnd"/>
      <w:r w:rsidRPr="00CD74C7">
        <w:t>) vers AWS étant gratuits, l'ingestion initiale des 50 To (ERP, CRM, Logs) ne génère pas de frais réseau. Les coûts d'amorçage se limiteront exclusivement au temps d'ingénierie (configuration réseau, fédération de l'AD, paramétrage de DMS).</w:t>
      </w:r>
    </w:p>
    <w:p w14:paraId="6413A3E4" w14:textId="77777777" w:rsidR="00CD74C7" w:rsidRPr="00CD74C7" w:rsidRDefault="00CD74C7" w:rsidP="00F7002A">
      <w:pPr>
        <w:ind w:left="360" w:firstLine="348"/>
      </w:pPr>
      <w:r w:rsidRPr="00CD74C7">
        <w:rPr>
          <w:b/>
          <w:bCs/>
        </w:rPr>
        <w:t>2. Estimation des coûts récurrents mensuels (OPEX)</w:t>
      </w:r>
    </w:p>
    <w:tbl>
      <w:tblPr>
        <w:tblW w:w="9056" w:type="dxa"/>
        <w:tblCellMar>
          <w:left w:w="0" w:type="dxa"/>
          <w:right w:w="0" w:type="dxa"/>
        </w:tblCellMar>
        <w:tblLook w:val="04A0" w:firstRow="1" w:lastRow="0" w:firstColumn="1" w:lastColumn="0" w:noHBand="0" w:noVBand="1"/>
      </w:tblPr>
      <w:tblGrid>
        <w:gridCol w:w="1801"/>
        <w:gridCol w:w="2809"/>
        <w:gridCol w:w="1387"/>
        <w:gridCol w:w="1240"/>
        <w:gridCol w:w="1819"/>
      </w:tblGrid>
      <w:tr w:rsidR="00EC14F9" w:rsidRPr="00685912" w14:paraId="4941A6A8" w14:textId="77777777" w:rsidTr="00EC14F9">
        <w:trPr>
          <w:trHeight w:val="480"/>
        </w:trPr>
        <w:tc>
          <w:tcPr>
            <w:tcW w:w="0" w:type="auto"/>
            <w:gridSpan w:val="5"/>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5822F3" w14:textId="77777777" w:rsidR="00EC14F9" w:rsidRPr="00685912" w:rsidRDefault="00EC14F9" w:rsidP="00EC14F9">
            <w:pPr>
              <w:ind w:left="360"/>
              <w:rPr>
                <w:b/>
                <w:bCs/>
                <w:i/>
                <w:iCs/>
                <w:sz w:val="22"/>
                <w:szCs w:val="22"/>
              </w:rPr>
            </w:pPr>
            <w:r w:rsidRPr="00685912">
              <w:rPr>
                <w:b/>
                <w:bCs/>
                <w:i/>
                <w:iCs/>
                <w:sz w:val="22"/>
                <w:szCs w:val="22"/>
              </w:rPr>
              <w:t>ESTIMATION DES COÛTS D'ARCHITECTURE AWS</w:t>
            </w:r>
          </w:p>
        </w:tc>
      </w:tr>
      <w:tr w:rsidR="00EC14F9" w:rsidRPr="00685912" w14:paraId="36080FD6" w14:textId="77777777" w:rsidTr="00EC14F9">
        <w:trPr>
          <w:trHeight w:val="420"/>
        </w:trPr>
        <w:tc>
          <w:tcPr>
            <w:tcW w:w="0" w:type="auto"/>
            <w:tcBorders>
              <w:top w:val="single" w:sz="6" w:space="0" w:color="CCCCCC"/>
              <w:left w:val="single" w:sz="6" w:space="0" w:color="D1DBE8"/>
              <w:bottom w:val="single" w:sz="6" w:space="0" w:color="E0E8EF"/>
              <w:right w:val="single" w:sz="6" w:space="0" w:color="E0E8EF"/>
            </w:tcBorders>
            <w:shd w:val="clear" w:color="auto" w:fill="EDF2F7"/>
            <w:tcMar>
              <w:top w:w="30" w:type="dxa"/>
              <w:left w:w="45" w:type="dxa"/>
              <w:bottom w:w="30" w:type="dxa"/>
              <w:right w:w="45" w:type="dxa"/>
            </w:tcMar>
            <w:vAlign w:val="center"/>
            <w:hideMark/>
          </w:tcPr>
          <w:p w14:paraId="3ACECACE" w14:textId="77777777" w:rsidR="00EC14F9" w:rsidRPr="00685912" w:rsidRDefault="00EC14F9" w:rsidP="00EC14F9">
            <w:pPr>
              <w:ind w:left="360"/>
              <w:rPr>
                <w:b/>
                <w:bCs/>
                <w:i/>
                <w:iCs/>
                <w:sz w:val="22"/>
                <w:szCs w:val="22"/>
              </w:rPr>
            </w:pPr>
            <w:r w:rsidRPr="00685912">
              <w:rPr>
                <w:b/>
                <w:bCs/>
                <w:i/>
                <w:iCs/>
                <w:sz w:val="22"/>
                <w:szCs w:val="22"/>
              </w:rPr>
              <w:t>BUDGET MENSUEL ESTIMÉ</w:t>
            </w:r>
          </w:p>
        </w:tc>
        <w:tc>
          <w:tcPr>
            <w:tcW w:w="0" w:type="auto"/>
            <w:tcBorders>
              <w:top w:val="single" w:sz="6" w:space="0" w:color="CCCCCC"/>
              <w:left w:val="single" w:sz="6" w:space="0" w:color="CCCCCC"/>
              <w:bottom w:val="single" w:sz="6" w:space="0" w:color="E0E8EF"/>
              <w:right w:val="single" w:sz="6" w:space="0" w:color="E0E8EF"/>
            </w:tcBorders>
            <w:shd w:val="clear" w:color="auto" w:fill="EDF2F7"/>
            <w:tcMar>
              <w:top w:w="30" w:type="dxa"/>
              <w:left w:w="45" w:type="dxa"/>
              <w:bottom w:w="30" w:type="dxa"/>
              <w:right w:w="45" w:type="dxa"/>
            </w:tcMar>
            <w:vAlign w:val="center"/>
            <w:hideMark/>
          </w:tcPr>
          <w:p w14:paraId="2A471163" w14:textId="77777777" w:rsidR="00EC14F9" w:rsidRPr="00685912" w:rsidRDefault="00EC14F9" w:rsidP="00EC14F9">
            <w:pPr>
              <w:ind w:left="360"/>
              <w:rPr>
                <w:b/>
                <w:bCs/>
                <w:i/>
                <w:iCs/>
                <w:sz w:val="22"/>
                <w:szCs w:val="22"/>
              </w:rPr>
            </w:pPr>
            <w:r w:rsidRPr="00685912">
              <w:rPr>
                <w:b/>
                <w:bCs/>
                <w:i/>
                <w:iCs/>
                <w:sz w:val="22"/>
                <w:szCs w:val="22"/>
              </w:rPr>
              <w:t>POSTE PRINCIPAL (ANALYTIQUE)</w:t>
            </w:r>
          </w:p>
        </w:tc>
        <w:tc>
          <w:tcPr>
            <w:tcW w:w="0" w:type="auto"/>
            <w:gridSpan w:val="2"/>
            <w:tcBorders>
              <w:top w:val="single" w:sz="6" w:space="0" w:color="CCCCCC"/>
              <w:left w:val="single" w:sz="6" w:space="0" w:color="CCCCCC"/>
              <w:bottom w:val="single" w:sz="6" w:space="0" w:color="E0E8EF"/>
              <w:right w:val="single" w:sz="6" w:space="0" w:color="E0E8EF"/>
            </w:tcBorders>
            <w:shd w:val="clear" w:color="auto" w:fill="EDF2F7"/>
            <w:tcMar>
              <w:top w:w="30" w:type="dxa"/>
              <w:left w:w="45" w:type="dxa"/>
              <w:bottom w:w="30" w:type="dxa"/>
              <w:right w:w="45" w:type="dxa"/>
            </w:tcMar>
            <w:vAlign w:val="center"/>
            <w:hideMark/>
          </w:tcPr>
          <w:p w14:paraId="0372C08F" w14:textId="77777777" w:rsidR="00EC14F9" w:rsidRPr="00685912" w:rsidRDefault="00EC14F9" w:rsidP="00EC14F9">
            <w:pPr>
              <w:ind w:left="360"/>
              <w:rPr>
                <w:b/>
                <w:bCs/>
                <w:i/>
                <w:iCs/>
                <w:sz w:val="22"/>
                <w:szCs w:val="22"/>
              </w:rPr>
            </w:pPr>
            <w:r w:rsidRPr="00685912">
              <w:rPr>
                <w:b/>
                <w:bCs/>
                <w:i/>
                <w:iCs/>
                <w:sz w:val="22"/>
                <w:szCs w:val="22"/>
              </w:rPr>
              <w:t>COMPOSANTS DÉPLOYÉS</w:t>
            </w:r>
          </w:p>
        </w:tc>
        <w:tc>
          <w:tcPr>
            <w:tcW w:w="0" w:type="auto"/>
            <w:tcBorders>
              <w:top w:val="single" w:sz="6" w:space="0" w:color="CCCCCC"/>
              <w:left w:val="single" w:sz="6" w:space="0" w:color="CCCCCC"/>
              <w:bottom w:val="single" w:sz="6" w:space="0" w:color="E0E8EF"/>
              <w:right w:val="single" w:sz="6" w:space="0" w:color="D1DBE8"/>
            </w:tcBorders>
            <w:shd w:val="clear" w:color="auto" w:fill="EDF2F7"/>
            <w:tcMar>
              <w:top w:w="30" w:type="dxa"/>
              <w:left w:w="45" w:type="dxa"/>
              <w:bottom w:w="30" w:type="dxa"/>
              <w:right w:w="45" w:type="dxa"/>
            </w:tcMar>
            <w:vAlign w:val="center"/>
            <w:hideMark/>
          </w:tcPr>
          <w:p w14:paraId="6451ED43" w14:textId="77777777" w:rsidR="00EC14F9" w:rsidRPr="00685912" w:rsidRDefault="00EC14F9" w:rsidP="00EC14F9">
            <w:pPr>
              <w:ind w:left="360"/>
              <w:rPr>
                <w:b/>
                <w:bCs/>
                <w:i/>
                <w:iCs/>
                <w:sz w:val="22"/>
                <w:szCs w:val="22"/>
              </w:rPr>
            </w:pPr>
            <w:r w:rsidRPr="00685912">
              <w:rPr>
                <w:b/>
                <w:bCs/>
                <w:i/>
                <w:iCs/>
                <w:sz w:val="22"/>
                <w:szCs w:val="22"/>
              </w:rPr>
              <w:t>PROJECTION ANNUELLE</w:t>
            </w:r>
          </w:p>
        </w:tc>
      </w:tr>
      <w:tr w:rsidR="00EC14F9" w:rsidRPr="00685912" w14:paraId="4BF70813" w14:textId="77777777" w:rsidTr="00EC14F9">
        <w:trPr>
          <w:trHeight w:val="540"/>
        </w:trPr>
        <w:tc>
          <w:tcPr>
            <w:tcW w:w="0" w:type="auto"/>
            <w:tcBorders>
              <w:top w:val="single" w:sz="6" w:space="0" w:color="CCCCCC"/>
              <w:left w:val="single" w:sz="6" w:space="0" w:color="D1DBE8"/>
              <w:bottom w:val="single" w:sz="6" w:space="0" w:color="D1DBE8"/>
              <w:right w:val="single" w:sz="6" w:space="0" w:color="E0E8EF"/>
            </w:tcBorders>
            <w:shd w:val="clear" w:color="auto" w:fill="F7F9FC"/>
            <w:tcMar>
              <w:top w:w="30" w:type="dxa"/>
              <w:left w:w="45" w:type="dxa"/>
              <w:bottom w:w="30" w:type="dxa"/>
              <w:right w:w="45" w:type="dxa"/>
            </w:tcMar>
            <w:vAlign w:val="center"/>
            <w:hideMark/>
          </w:tcPr>
          <w:p w14:paraId="6E545F2E" w14:textId="77777777" w:rsidR="00EC14F9" w:rsidRPr="00685912" w:rsidRDefault="00EC14F9" w:rsidP="00EC14F9">
            <w:pPr>
              <w:ind w:left="360"/>
              <w:rPr>
                <w:b/>
                <w:bCs/>
                <w:i/>
                <w:iCs/>
                <w:sz w:val="22"/>
                <w:szCs w:val="22"/>
              </w:rPr>
            </w:pPr>
            <w:r w:rsidRPr="00685912">
              <w:rPr>
                <w:b/>
                <w:bCs/>
                <w:i/>
                <w:iCs/>
                <w:sz w:val="22"/>
                <w:szCs w:val="22"/>
              </w:rPr>
              <w:t>11</w:t>
            </w:r>
            <w:r w:rsidRPr="00685912">
              <w:rPr>
                <w:rFonts w:ascii="Arial" w:hAnsi="Arial" w:cs="Arial"/>
                <w:b/>
                <w:bCs/>
                <w:i/>
                <w:iCs/>
                <w:sz w:val="22"/>
                <w:szCs w:val="22"/>
              </w:rPr>
              <w:t> </w:t>
            </w:r>
            <w:r w:rsidRPr="00685912">
              <w:rPr>
                <w:b/>
                <w:bCs/>
                <w:i/>
                <w:iCs/>
                <w:sz w:val="22"/>
                <w:szCs w:val="22"/>
              </w:rPr>
              <w:t xml:space="preserve">098 </w:t>
            </w:r>
            <w:r w:rsidRPr="00685912">
              <w:rPr>
                <w:rFonts w:ascii="Aptos" w:hAnsi="Aptos" w:cs="Aptos"/>
                <w:b/>
                <w:bCs/>
                <w:i/>
                <w:iCs/>
                <w:sz w:val="22"/>
                <w:szCs w:val="22"/>
              </w:rPr>
              <w:t>€</w:t>
            </w:r>
          </w:p>
        </w:tc>
        <w:tc>
          <w:tcPr>
            <w:tcW w:w="0" w:type="auto"/>
            <w:tcBorders>
              <w:top w:val="single" w:sz="6" w:space="0" w:color="CCCCCC"/>
              <w:left w:val="single" w:sz="6" w:space="0" w:color="CCCCCC"/>
              <w:bottom w:val="single" w:sz="6" w:space="0" w:color="D1DBE8"/>
              <w:right w:val="single" w:sz="6" w:space="0" w:color="E0E8EF"/>
            </w:tcBorders>
            <w:shd w:val="clear" w:color="auto" w:fill="F7F9FC"/>
            <w:tcMar>
              <w:top w:w="30" w:type="dxa"/>
              <w:left w:w="45" w:type="dxa"/>
              <w:bottom w:w="30" w:type="dxa"/>
              <w:right w:w="45" w:type="dxa"/>
            </w:tcMar>
            <w:vAlign w:val="center"/>
            <w:hideMark/>
          </w:tcPr>
          <w:p w14:paraId="35D44AC4" w14:textId="77777777" w:rsidR="00EC14F9" w:rsidRPr="00685912" w:rsidRDefault="00EC14F9" w:rsidP="00EC14F9">
            <w:pPr>
              <w:ind w:left="360"/>
              <w:rPr>
                <w:b/>
                <w:bCs/>
                <w:i/>
                <w:iCs/>
                <w:sz w:val="22"/>
                <w:szCs w:val="22"/>
              </w:rPr>
            </w:pPr>
            <w:r w:rsidRPr="00685912">
              <w:rPr>
                <w:b/>
                <w:bCs/>
                <w:i/>
                <w:iCs/>
                <w:sz w:val="22"/>
                <w:szCs w:val="22"/>
              </w:rPr>
              <w:t>Amazon Redshift (78,9 %)</w:t>
            </w:r>
          </w:p>
        </w:tc>
        <w:tc>
          <w:tcPr>
            <w:tcW w:w="0" w:type="auto"/>
            <w:gridSpan w:val="2"/>
            <w:tcBorders>
              <w:top w:val="single" w:sz="6" w:space="0" w:color="CCCCCC"/>
              <w:left w:val="single" w:sz="6" w:space="0" w:color="CCCCCC"/>
              <w:bottom w:val="single" w:sz="6" w:space="0" w:color="D1DBE8"/>
              <w:right w:val="single" w:sz="6" w:space="0" w:color="E0E8EF"/>
            </w:tcBorders>
            <w:shd w:val="clear" w:color="auto" w:fill="F7F9FC"/>
            <w:tcMar>
              <w:top w:w="30" w:type="dxa"/>
              <w:left w:w="45" w:type="dxa"/>
              <w:bottom w:w="30" w:type="dxa"/>
              <w:right w:w="45" w:type="dxa"/>
            </w:tcMar>
            <w:vAlign w:val="center"/>
            <w:hideMark/>
          </w:tcPr>
          <w:p w14:paraId="2C452024" w14:textId="77777777" w:rsidR="00EC14F9" w:rsidRPr="00685912" w:rsidRDefault="00EC14F9" w:rsidP="00EC14F9">
            <w:pPr>
              <w:ind w:left="360"/>
              <w:rPr>
                <w:b/>
                <w:bCs/>
                <w:i/>
                <w:iCs/>
                <w:sz w:val="22"/>
                <w:szCs w:val="22"/>
              </w:rPr>
            </w:pPr>
            <w:r w:rsidRPr="00685912">
              <w:rPr>
                <w:b/>
                <w:bCs/>
                <w:i/>
                <w:iCs/>
                <w:sz w:val="22"/>
                <w:szCs w:val="22"/>
              </w:rPr>
              <w:t>6 services actifs</w:t>
            </w:r>
          </w:p>
        </w:tc>
        <w:tc>
          <w:tcPr>
            <w:tcW w:w="0" w:type="auto"/>
            <w:tcBorders>
              <w:top w:val="single" w:sz="6" w:space="0" w:color="CCCCCC"/>
              <w:left w:val="single" w:sz="6" w:space="0" w:color="CCCCCC"/>
              <w:bottom w:val="single" w:sz="6" w:space="0" w:color="D1DBE8"/>
              <w:right w:val="single" w:sz="6" w:space="0" w:color="D1DBE8"/>
            </w:tcBorders>
            <w:shd w:val="clear" w:color="auto" w:fill="F7F9FC"/>
            <w:tcMar>
              <w:top w:w="30" w:type="dxa"/>
              <w:left w:w="45" w:type="dxa"/>
              <w:bottom w:w="30" w:type="dxa"/>
              <w:right w:w="45" w:type="dxa"/>
            </w:tcMar>
            <w:vAlign w:val="center"/>
            <w:hideMark/>
          </w:tcPr>
          <w:p w14:paraId="72EEBDDF" w14:textId="77777777" w:rsidR="00EC14F9" w:rsidRPr="00685912" w:rsidRDefault="00EC14F9" w:rsidP="00EC14F9">
            <w:pPr>
              <w:ind w:left="360"/>
              <w:rPr>
                <w:b/>
                <w:bCs/>
                <w:i/>
                <w:iCs/>
                <w:sz w:val="22"/>
                <w:szCs w:val="22"/>
              </w:rPr>
            </w:pPr>
            <w:r w:rsidRPr="00685912">
              <w:rPr>
                <w:b/>
                <w:bCs/>
                <w:i/>
                <w:iCs/>
                <w:sz w:val="22"/>
                <w:szCs w:val="22"/>
              </w:rPr>
              <w:t>133</w:t>
            </w:r>
            <w:r w:rsidRPr="00685912">
              <w:rPr>
                <w:rFonts w:ascii="Arial" w:hAnsi="Arial" w:cs="Arial"/>
                <w:b/>
                <w:bCs/>
                <w:i/>
                <w:iCs/>
                <w:sz w:val="22"/>
                <w:szCs w:val="22"/>
              </w:rPr>
              <w:t> </w:t>
            </w:r>
            <w:r w:rsidRPr="00685912">
              <w:rPr>
                <w:b/>
                <w:bCs/>
                <w:i/>
                <w:iCs/>
                <w:sz w:val="22"/>
                <w:szCs w:val="22"/>
              </w:rPr>
              <w:t xml:space="preserve">176 </w:t>
            </w:r>
            <w:r w:rsidRPr="00685912">
              <w:rPr>
                <w:rFonts w:ascii="Aptos" w:hAnsi="Aptos" w:cs="Aptos"/>
                <w:b/>
                <w:bCs/>
                <w:i/>
                <w:iCs/>
                <w:sz w:val="22"/>
                <w:szCs w:val="22"/>
              </w:rPr>
              <w:t>€</w:t>
            </w:r>
          </w:p>
        </w:tc>
      </w:tr>
      <w:tr w:rsidR="00EC14F9" w:rsidRPr="00685912" w14:paraId="113E1B3F" w14:textId="77777777" w:rsidTr="00EC14F9">
        <w:trPr>
          <w:trHeight w:val="21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DA8AD" w14:textId="77777777" w:rsidR="00EC14F9" w:rsidRPr="00685912" w:rsidRDefault="00EC14F9" w:rsidP="00EC14F9">
            <w:pPr>
              <w:ind w:left="360"/>
              <w:rPr>
                <w:b/>
                <w:bCs/>
                <w:i/>
                <w:i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CE4A4" w14:textId="77777777" w:rsidR="00EC14F9" w:rsidRPr="00685912" w:rsidRDefault="00EC14F9" w:rsidP="00EC14F9">
            <w:pPr>
              <w:ind w:left="360"/>
              <w:rPr>
                <w:i/>
                <w:i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C41B7" w14:textId="77777777" w:rsidR="00EC14F9" w:rsidRPr="00685912" w:rsidRDefault="00EC14F9" w:rsidP="00EC14F9">
            <w:pPr>
              <w:ind w:left="360"/>
              <w:rPr>
                <w:i/>
                <w:i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11F707" w14:textId="77777777" w:rsidR="00EC14F9" w:rsidRPr="00685912" w:rsidRDefault="00EC14F9" w:rsidP="00EC14F9">
            <w:pPr>
              <w:ind w:left="360"/>
              <w:rPr>
                <w:i/>
                <w:i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3E909A" w14:textId="77777777" w:rsidR="00EC14F9" w:rsidRPr="00685912" w:rsidRDefault="00EC14F9" w:rsidP="00EC14F9">
            <w:pPr>
              <w:ind w:left="360"/>
              <w:rPr>
                <w:i/>
                <w:iCs/>
                <w:sz w:val="22"/>
                <w:szCs w:val="22"/>
              </w:rPr>
            </w:pPr>
          </w:p>
        </w:tc>
      </w:tr>
      <w:tr w:rsidR="00EC14F9" w:rsidRPr="00685912" w14:paraId="0E2959AC" w14:textId="77777777" w:rsidTr="00EC14F9">
        <w:trPr>
          <w:trHeight w:val="540"/>
        </w:trPr>
        <w:tc>
          <w:tcPr>
            <w:tcW w:w="0" w:type="auto"/>
            <w:tcBorders>
              <w:top w:val="single" w:sz="6" w:space="0" w:color="CCCCCC"/>
              <w:left w:val="single" w:sz="6" w:space="0" w:color="CCCCCC"/>
              <w:bottom w:val="single" w:sz="6" w:space="0" w:color="CCCCCC"/>
              <w:right w:val="single" w:sz="6" w:space="0" w:color="CCCCCC"/>
            </w:tcBorders>
            <w:shd w:val="clear" w:color="auto" w:fill="1E3A89"/>
            <w:tcMar>
              <w:top w:w="30" w:type="dxa"/>
              <w:left w:w="45" w:type="dxa"/>
              <w:bottom w:w="30" w:type="dxa"/>
              <w:right w:w="45" w:type="dxa"/>
            </w:tcMar>
            <w:vAlign w:val="center"/>
            <w:hideMark/>
          </w:tcPr>
          <w:p w14:paraId="16A7F550" w14:textId="77777777" w:rsidR="00EC14F9" w:rsidRPr="00685912" w:rsidRDefault="00EC14F9" w:rsidP="00EC14F9">
            <w:pPr>
              <w:ind w:left="360"/>
              <w:rPr>
                <w:b/>
                <w:bCs/>
                <w:i/>
                <w:iCs/>
                <w:sz w:val="22"/>
                <w:szCs w:val="22"/>
              </w:rPr>
            </w:pPr>
            <w:r w:rsidRPr="00685912">
              <w:rPr>
                <w:b/>
                <w:bCs/>
                <w:i/>
                <w:iCs/>
                <w:sz w:val="22"/>
                <w:szCs w:val="22"/>
              </w:rPr>
              <w:t>Composant Cloud</w:t>
            </w:r>
          </w:p>
        </w:tc>
        <w:tc>
          <w:tcPr>
            <w:tcW w:w="0" w:type="auto"/>
            <w:tcBorders>
              <w:top w:val="single" w:sz="6" w:space="0" w:color="CCCCCC"/>
              <w:left w:val="single" w:sz="6" w:space="0" w:color="CCCCCC"/>
              <w:bottom w:val="single" w:sz="6" w:space="0" w:color="CCCCCC"/>
              <w:right w:val="single" w:sz="6" w:space="0" w:color="CCCCCC"/>
            </w:tcBorders>
            <w:shd w:val="clear" w:color="auto" w:fill="1E3A89"/>
            <w:tcMar>
              <w:top w:w="30" w:type="dxa"/>
              <w:left w:w="45" w:type="dxa"/>
              <w:bottom w:w="30" w:type="dxa"/>
              <w:right w:w="45" w:type="dxa"/>
            </w:tcMar>
            <w:vAlign w:val="center"/>
            <w:hideMark/>
          </w:tcPr>
          <w:p w14:paraId="447AC518" w14:textId="77777777" w:rsidR="00EC14F9" w:rsidRPr="00685912" w:rsidRDefault="00EC14F9" w:rsidP="00EC14F9">
            <w:pPr>
              <w:ind w:left="360"/>
              <w:rPr>
                <w:b/>
                <w:bCs/>
                <w:i/>
                <w:iCs/>
                <w:sz w:val="22"/>
                <w:szCs w:val="22"/>
              </w:rPr>
            </w:pPr>
            <w:r w:rsidRPr="00685912">
              <w:rPr>
                <w:b/>
                <w:bCs/>
                <w:i/>
                <w:iCs/>
                <w:sz w:val="22"/>
                <w:szCs w:val="22"/>
              </w:rPr>
              <w:t>Usage technique &amp; Métriques de facturation</w:t>
            </w:r>
          </w:p>
        </w:tc>
        <w:tc>
          <w:tcPr>
            <w:tcW w:w="0" w:type="auto"/>
            <w:tcBorders>
              <w:top w:val="single" w:sz="6" w:space="0" w:color="CCCCCC"/>
              <w:left w:val="single" w:sz="6" w:space="0" w:color="CCCCCC"/>
              <w:bottom w:val="single" w:sz="6" w:space="0" w:color="CCCCCC"/>
              <w:right w:val="single" w:sz="6" w:space="0" w:color="CCCCCC"/>
            </w:tcBorders>
            <w:shd w:val="clear" w:color="auto" w:fill="1E3A89"/>
            <w:tcMar>
              <w:top w:w="30" w:type="dxa"/>
              <w:left w:w="45" w:type="dxa"/>
              <w:bottom w:w="30" w:type="dxa"/>
              <w:right w:w="45" w:type="dxa"/>
            </w:tcMar>
            <w:vAlign w:val="center"/>
            <w:hideMark/>
          </w:tcPr>
          <w:p w14:paraId="34E80B0D" w14:textId="77777777" w:rsidR="00EC14F9" w:rsidRPr="00685912" w:rsidRDefault="00EC14F9" w:rsidP="00EC14F9">
            <w:pPr>
              <w:ind w:left="360"/>
              <w:rPr>
                <w:b/>
                <w:bCs/>
                <w:i/>
                <w:iCs/>
                <w:sz w:val="22"/>
                <w:szCs w:val="22"/>
              </w:rPr>
            </w:pPr>
            <w:r w:rsidRPr="00685912">
              <w:rPr>
                <w:b/>
                <w:bCs/>
                <w:i/>
                <w:iCs/>
                <w:sz w:val="22"/>
                <w:szCs w:val="22"/>
              </w:rPr>
              <w:t>Coût mensuel (€)</w:t>
            </w:r>
          </w:p>
        </w:tc>
        <w:tc>
          <w:tcPr>
            <w:tcW w:w="0" w:type="auto"/>
            <w:tcBorders>
              <w:top w:val="single" w:sz="6" w:space="0" w:color="CCCCCC"/>
              <w:left w:val="single" w:sz="6" w:space="0" w:color="CCCCCC"/>
              <w:bottom w:val="single" w:sz="6" w:space="0" w:color="CCCCCC"/>
              <w:right w:val="single" w:sz="6" w:space="0" w:color="CCCCCC"/>
            </w:tcBorders>
            <w:shd w:val="clear" w:color="auto" w:fill="1E3A89"/>
            <w:tcMar>
              <w:top w:w="30" w:type="dxa"/>
              <w:left w:w="45" w:type="dxa"/>
              <w:bottom w:w="30" w:type="dxa"/>
              <w:right w:w="45" w:type="dxa"/>
            </w:tcMar>
            <w:vAlign w:val="center"/>
            <w:hideMark/>
          </w:tcPr>
          <w:p w14:paraId="44FCC9B0" w14:textId="77777777" w:rsidR="00EC14F9" w:rsidRPr="00685912" w:rsidRDefault="00EC14F9" w:rsidP="00EC14F9">
            <w:pPr>
              <w:ind w:left="360"/>
              <w:rPr>
                <w:b/>
                <w:bCs/>
                <w:i/>
                <w:iCs/>
                <w:sz w:val="22"/>
                <w:szCs w:val="22"/>
              </w:rPr>
            </w:pPr>
            <w:r w:rsidRPr="00685912">
              <w:rPr>
                <w:b/>
                <w:bCs/>
                <w:i/>
                <w:iCs/>
                <w:sz w:val="22"/>
                <w:szCs w:val="22"/>
              </w:rPr>
              <w:t>Part du budget</w:t>
            </w:r>
          </w:p>
        </w:tc>
        <w:tc>
          <w:tcPr>
            <w:tcW w:w="0" w:type="auto"/>
            <w:tcBorders>
              <w:top w:val="single" w:sz="6" w:space="0" w:color="CCCCCC"/>
              <w:left w:val="single" w:sz="6" w:space="0" w:color="CCCCCC"/>
              <w:bottom w:val="single" w:sz="6" w:space="0" w:color="CCCCCC"/>
              <w:right w:val="single" w:sz="6" w:space="0" w:color="CCCCCC"/>
            </w:tcBorders>
            <w:shd w:val="clear" w:color="auto" w:fill="1E3A89"/>
            <w:tcMar>
              <w:top w:w="30" w:type="dxa"/>
              <w:left w:w="45" w:type="dxa"/>
              <w:bottom w:w="30" w:type="dxa"/>
              <w:right w:w="45" w:type="dxa"/>
            </w:tcMar>
            <w:vAlign w:val="center"/>
            <w:hideMark/>
          </w:tcPr>
          <w:p w14:paraId="30D24838" w14:textId="77777777" w:rsidR="00EC14F9" w:rsidRPr="00685912" w:rsidRDefault="00EC14F9" w:rsidP="00EC14F9">
            <w:pPr>
              <w:ind w:left="360"/>
              <w:rPr>
                <w:b/>
                <w:bCs/>
                <w:i/>
                <w:iCs/>
                <w:sz w:val="22"/>
                <w:szCs w:val="22"/>
              </w:rPr>
            </w:pPr>
            <w:r w:rsidRPr="00685912">
              <w:rPr>
                <w:b/>
                <w:bCs/>
                <w:i/>
                <w:iCs/>
                <w:sz w:val="22"/>
                <w:szCs w:val="22"/>
              </w:rPr>
              <w:t>Projection annuelle (€)</w:t>
            </w:r>
          </w:p>
        </w:tc>
      </w:tr>
      <w:tr w:rsidR="00EC14F9" w:rsidRPr="00685912" w14:paraId="70C5D90A" w14:textId="77777777" w:rsidTr="00EC14F9">
        <w:trPr>
          <w:trHeight w:val="315"/>
        </w:trPr>
        <w:tc>
          <w:tcPr>
            <w:tcW w:w="0" w:type="auto"/>
            <w:tcBorders>
              <w:top w:val="single" w:sz="6" w:space="0" w:color="CCCCCC"/>
              <w:left w:val="single" w:sz="6" w:space="0" w:color="CCD6E5"/>
              <w:bottom w:val="single" w:sz="6" w:space="0" w:color="E0E8EF"/>
              <w:right w:val="single" w:sz="6" w:space="0" w:color="CCCCCC"/>
            </w:tcBorders>
            <w:tcMar>
              <w:top w:w="30" w:type="dxa"/>
              <w:left w:w="45" w:type="dxa"/>
              <w:bottom w:w="30" w:type="dxa"/>
              <w:right w:w="45" w:type="dxa"/>
            </w:tcMar>
            <w:vAlign w:val="center"/>
            <w:hideMark/>
          </w:tcPr>
          <w:p w14:paraId="6361E057" w14:textId="77777777" w:rsidR="00EC14F9" w:rsidRPr="00685912" w:rsidRDefault="00EC14F9" w:rsidP="00EC14F9">
            <w:pPr>
              <w:ind w:left="360"/>
              <w:rPr>
                <w:b/>
                <w:bCs/>
                <w:i/>
                <w:iCs/>
                <w:sz w:val="22"/>
                <w:szCs w:val="22"/>
              </w:rPr>
            </w:pPr>
            <w:r w:rsidRPr="00685912">
              <w:rPr>
                <w:b/>
                <w:bCs/>
                <w:i/>
                <w:iCs/>
                <w:sz w:val="22"/>
                <w:szCs w:val="22"/>
              </w:rPr>
              <w:t>Amazon S3 (Data Lake)</w:t>
            </w:r>
          </w:p>
        </w:tc>
        <w:tc>
          <w:tcPr>
            <w:tcW w:w="0" w:type="auto"/>
            <w:tcBorders>
              <w:top w:val="single" w:sz="6" w:space="0" w:color="CCCCCC"/>
              <w:left w:val="single" w:sz="6" w:space="0" w:color="CCCCCC"/>
              <w:bottom w:val="single" w:sz="6" w:space="0" w:color="E0E8EF"/>
              <w:right w:val="single" w:sz="6" w:space="0" w:color="CCCCCC"/>
            </w:tcBorders>
            <w:tcMar>
              <w:top w:w="30" w:type="dxa"/>
              <w:left w:w="45" w:type="dxa"/>
              <w:bottom w:w="30" w:type="dxa"/>
              <w:right w:w="45" w:type="dxa"/>
            </w:tcMar>
            <w:vAlign w:val="center"/>
            <w:hideMark/>
          </w:tcPr>
          <w:p w14:paraId="3CE86709" w14:textId="77777777" w:rsidR="00EC14F9" w:rsidRPr="00685912" w:rsidRDefault="00EC14F9" w:rsidP="00EC14F9">
            <w:pPr>
              <w:ind w:left="360"/>
              <w:rPr>
                <w:i/>
                <w:iCs/>
                <w:sz w:val="20"/>
                <w:szCs w:val="20"/>
              </w:rPr>
            </w:pPr>
            <w:proofErr w:type="gramStart"/>
            <w:r w:rsidRPr="00685912">
              <w:rPr>
                <w:i/>
                <w:iCs/>
                <w:sz w:val="20"/>
                <w:szCs w:val="20"/>
                <w:lang w:val="en-GB"/>
              </w:rPr>
              <w:t>Stockage :</w:t>
            </w:r>
            <w:proofErr w:type="gramEnd"/>
            <w:r w:rsidRPr="00685912">
              <w:rPr>
                <w:i/>
                <w:iCs/>
                <w:sz w:val="20"/>
                <w:szCs w:val="20"/>
                <w:lang w:val="en-GB"/>
              </w:rPr>
              <w:t xml:space="preserve"> ~50 000 Go (10 To SAN + 40 To staging DMS). </w:t>
            </w:r>
            <w:r w:rsidRPr="00685912">
              <w:rPr>
                <w:i/>
                <w:iCs/>
                <w:sz w:val="20"/>
                <w:szCs w:val="20"/>
              </w:rPr>
              <w:t>Métrique : ~0,024 € / Go / mois (Classe S3 Standard).</w:t>
            </w:r>
          </w:p>
        </w:tc>
        <w:tc>
          <w:tcPr>
            <w:tcW w:w="0" w:type="auto"/>
            <w:tcBorders>
              <w:top w:val="single" w:sz="6" w:space="0" w:color="CCCCCC"/>
              <w:left w:val="single" w:sz="6" w:space="0" w:color="CCCCCC"/>
              <w:bottom w:val="single" w:sz="6" w:space="0" w:color="E0E8EF"/>
              <w:right w:val="single" w:sz="6" w:space="0" w:color="CCCCCC"/>
            </w:tcBorders>
            <w:tcMar>
              <w:top w:w="30" w:type="dxa"/>
              <w:left w:w="45" w:type="dxa"/>
              <w:bottom w:w="30" w:type="dxa"/>
              <w:right w:w="45" w:type="dxa"/>
            </w:tcMar>
            <w:vAlign w:val="center"/>
            <w:hideMark/>
          </w:tcPr>
          <w:p w14:paraId="3AC5A0A8" w14:textId="77777777" w:rsidR="00EC14F9" w:rsidRPr="00685912" w:rsidRDefault="00EC14F9" w:rsidP="00EC14F9">
            <w:pPr>
              <w:ind w:left="360"/>
              <w:rPr>
                <w:b/>
                <w:bCs/>
                <w:i/>
                <w:iCs/>
                <w:sz w:val="22"/>
                <w:szCs w:val="22"/>
              </w:rPr>
            </w:pPr>
            <w:r w:rsidRPr="00685912">
              <w:rPr>
                <w:b/>
                <w:bCs/>
                <w:i/>
                <w:iCs/>
                <w:sz w:val="22"/>
                <w:szCs w:val="22"/>
              </w:rPr>
              <w:t>1</w:t>
            </w:r>
            <w:r w:rsidRPr="00685912">
              <w:rPr>
                <w:rFonts w:ascii="Arial" w:hAnsi="Arial" w:cs="Arial"/>
                <w:b/>
                <w:bCs/>
                <w:i/>
                <w:iCs/>
                <w:sz w:val="22"/>
                <w:szCs w:val="22"/>
              </w:rPr>
              <w:t> </w:t>
            </w:r>
            <w:r w:rsidRPr="00685912">
              <w:rPr>
                <w:b/>
                <w:bCs/>
                <w:i/>
                <w:iCs/>
                <w:sz w:val="22"/>
                <w:szCs w:val="22"/>
              </w:rPr>
              <w:t xml:space="preserve">200 </w:t>
            </w:r>
            <w:r w:rsidRPr="00685912">
              <w:rPr>
                <w:rFonts w:ascii="Aptos" w:hAnsi="Aptos" w:cs="Aptos"/>
                <w:b/>
                <w:bCs/>
                <w:i/>
                <w:iCs/>
                <w:sz w:val="22"/>
                <w:szCs w:val="22"/>
              </w:rPr>
              <w:t>€</w:t>
            </w:r>
          </w:p>
        </w:tc>
        <w:tc>
          <w:tcPr>
            <w:tcW w:w="0" w:type="auto"/>
            <w:tcBorders>
              <w:top w:val="single" w:sz="6" w:space="0" w:color="CCCCCC"/>
              <w:left w:val="single" w:sz="6" w:space="0" w:color="CCCCCC"/>
              <w:bottom w:val="single" w:sz="6" w:space="0" w:color="E0E8EF"/>
              <w:right w:val="single" w:sz="6" w:space="0" w:color="CCCCCC"/>
            </w:tcBorders>
            <w:tcMar>
              <w:top w:w="30" w:type="dxa"/>
              <w:left w:w="45" w:type="dxa"/>
              <w:bottom w:w="30" w:type="dxa"/>
              <w:right w:w="45" w:type="dxa"/>
            </w:tcMar>
            <w:vAlign w:val="center"/>
            <w:hideMark/>
          </w:tcPr>
          <w:p w14:paraId="4AB12572" w14:textId="77777777" w:rsidR="00EC14F9" w:rsidRPr="00685912" w:rsidRDefault="00EC14F9" w:rsidP="00EC14F9">
            <w:pPr>
              <w:ind w:left="360"/>
              <w:rPr>
                <w:i/>
                <w:iCs/>
                <w:sz w:val="22"/>
                <w:szCs w:val="22"/>
              </w:rPr>
            </w:pPr>
            <w:r w:rsidRPr="00685912">
              <w:rPr>
                <w:i/>
                <w:iCs/>
                <w:sz w:val="22"/>
                <w:szCs w:val="22"/>
              </w:rPr>
              <w:t>10,8%</w:t>
            </w:r>
          </w:p>
        </w:tc>
        <w:tc>
          <w:tcPr>
            <w:tcW w:w="0" w:type="auto"/>
            <w:tcBorders>
              <w:top w:val="single" w:sz="6" w:space="0" w:color="CCCCCC"/>
              <w:left w:val="single" w:sz="6" w:space="0" w:color="CCCCCC"/>
              <w:bottom w:val="single" w:sz="6" w:space="0" w:color="E0E8EF"/>
              <w:right w:val="single" w:sz="6" w:space="0" w:color="CCD6E5"/>
            </w:tcBorders>
            <w:tcMar>
              <w:top w:w="30" w:type="dxa"/>
              <w:left w:w="45" w:type="dxa"/>
              <w:bottom w:w="30" w:type="dxa"/>
              <w:right w:w="45" w:type="dxa"/>
            </w:tcMar>
            <w:vAlign w:val="center"/>
            <w:hideMark/>
          </w:tcPr>
          <w:p w14:paraId="08F66D25" w14:textId="77777777" w:rsidR="00EC14F9" w:rsidRPr="00685912" w:rsidRDefault="00EC14F9" w:rsidP="00EC14F9">
            <w:pPr>
              <w:ind w:left="360"/>
              <w:rPr>
                <w:b/>
                <w:bCs/>
                <w:i/>
                <w:iCs/>
                <w:sz w:val="22"/>
                <w:szCs w:val="22"/>
              </w:rPr>
            </w:pPr>
            <w:r w:rsidRPr="00685912">
              <w:rPr>
                <w:b/>
                <w:bCs/>
                <w:i/>
                <w:iCs/>
                <w:sz w:val="22"/>
                <w:szCs w:val="22"/>
              </w:rPr>
              <w:t>14</w:t>
            </w:r>
            <w:r w:rsidRPr="00685912">
              <w:rPr>
                <w:rFonts w:ascii="Arial" w:hAnsi="Arial" w:cs="Arial"/>
                <w:b/>
                <w:bCs/>
                <w:i/>
                <w:iCs/>
                <w:sz w:val="22"/>
                <w:szCs w:val="22"/>
              </w:rPr>
              <w:t> </w:t>
            </w:r>
            <w:r w:rsidRPr="00685912">
              <w:rPr>
                <w:b/>
                <w:bCs/>
                <w:i/>
                <w:iCs/>
                <w:sz w:val="22"/>
                <w:szCs w:val="22"/>
              </w:rPr>
              <w:t xml:space="preserve">400 </w:t>
            </w:r>
            <w:r w:rsidRPr="00685912">
              <w:rPr>
                <w:rFonts w:ascii="Aptos" w:hAnsi="Aptos" w:cs="Aptos"/>
                <w:b/>
                <w:bCs/>
                <w:i/>
                <w:iCs/>
                <w:sz w:val="22"/>
                <w:szCs w:val="22"/>
              </w:rPr>
              <w:t>€</w:t>
            </w:r>
          </w:p>
        </w:tc>
      </w:tr>
      <w:tr w:rsidR="00EC14F9" w:rsidRPr="00685912" w14:paraId="1FCF7816" w14:textId="77777777" w:rsidTr="00EC14F9">
        <w:trPr>
          <w:trHeight w:val="315"/>
        </w:trPr>
        <w:tc>
          <w:tcPr>
            <w:tcW w:w="0" w:type="auto"/>
            <w:tcBorders>
              <w:top w:val="single" w:sz="6" w:space="0" w:color="CCCCCC"/>
              <w:left w:val="single" w:sz="6" w:space="0" w:color="CCD6E5"/>
              <w:bottom w:val="single" w:sz="6" w:space="0" w:color="E0E8EF"/>
              <w:right w:val="single" w:sz="6" w:space="0" w:color="CCCCCC"/>
            </w:tcBorders>
            <w:shd w:val="clear" w:color="auto" w:fill="F7F9FC"/>
            <w:tcMar>
              <w:top w:w="30" w:type="dxa"/>
              <w:left w:w="45" w:type="dxa"/>
              <w:bottom w:w="30" w:type="dxa"/>
              <w:right w:w="45" w:type="dxa"/>
            </w:tcMar>
            <w:vAlign w:val="center"/>
            <w:hideMark/>
          </w:tcPr>
          <w:p w14:paraId="7124421A" w14:textId="77777777" w:rsidR="00EC14F9" w:rsidRPr="00685912" w:rsidRDefault="00EC14F9" w:rsidP="00EC14F9">
            <w:pPr>
              <w:ind w:left="360"/>
              <w:rPr>
                <w:b/>
                <w:bCs/>
                <w:i/>
                <w:iCs/>
                <w:sz w:val="22"/>
                <w:szCs w:val="22"/>
              </w:rPr>
            </w:pPr>
            <w:r w:rsidRPr="00685912">
              <w:rPr>
                <w:b/>
                <w:bCs/>
                <w:i/>
                <w:iCs/>
                <w:sz w:val="22"/>
                <w:szCs w:val="22"/>
              </w:rPr>
              <w:t>Amazon Redshift</w:t>
            </w:r>
          </w:p>
        </w:tc>
        <w:tc>
          <w:tcPr>
            <w:tcW w:w="0" w:type="auto"/>
            <w:tcBorders>
              <w:top w:val="single" w:sz="6" w:space="0" w:color="CCCCCC"/>
              <w:left w:val="single" w:sz="6" w:space="0" w:color="CCCCCC"/>
              <w:bottom w:val="single" w:sz="6" w:space="0" w:color="E0E8EF"/>
              <w:right w:val="single" w:sz="6" w:space="0" w:color="CCCCCC"/>
            </w:tcBorders>
            <w:shd w:val="clear" w:color="auto" w:fill="F7F9FC"/>
            <w:tcMar>
              <w:top w:w="30" w:type="dxa"/>
              <w:left w:w="45" w:type="dxa"/>
              <w:bottom w:w="30" w:type="dxa"/>
              <w:right w:w="45" w:type="dxa"/>
            </w:tcMar>
            <w:vAlign w:val="center"/>
            <w:hideMark/>
          </w:tcPr>
          <w:p w14:paraId="1708C7D3" w14:textId="77777777" w:rsidR="00EC14F9" w:rsidRPr="00685912" w:rsidRDefault="00EC14F9" w:rsidP="00EC14F9">
            <w:pPr>
              <w:ind w:left="360"/>
              <w:rPr>
                <w:i/>
                <w:iCs/>
                <w:sz w:val="20"/>
                <w:szCs w:val="20"/>
              </w:rPr>
            </w:pPr>
            <w:r w:rsidRPr="00685912">
              <w:rPr>
                <w:i/>
                <w:iCs/>
                <w:sz w:val="20"/>
                <w:szCs w:val="20"/>
              </w:rPr>
              <w:t>Cluster RA3 (</w:t>
            </w:r>
            <w:proofErr w:type="gramStart"/>
            <w:r w:rsidRPr="00685912">
              <w:rPr>
                <w:i/>
                <w:iCs/>
                <w:sz w:val="20"/>
                <w:szCs w:val="20"/>
              </w:rPr>
              <w:t>ex:</w:t>
            </w:r>
            <w:proofErr w:type="gramEnd"/>
            <w:r w:rsidRPr="00685912">
              <w:rPr>
                <w:i/>
                <w:iCs/>
                <w:sz w:val="20"/>
                <w:szCs w:val="20"/>
              </w:rPr>
              <w:t xml:space="preserve"> 4 nœuds ra3.4xlarge) pour requêtes analytiques complexes sur 40 To. Métrique : ~3,00 € / </w:t>
            </w:r>
            <w:r w:rsidRPr="00685912">
              <w:rPr>
                <w:i/>
                <w:iCs/>
                <w:sz w:val="20"/>
                <w:szCs w:val="20"/>
              </w:rPr>
              <w:lastRenderedPageBreak/>
              <w:t>heure / nœud (~2 190 €/mois/nœud).</w:t>
            </w:r>
          </w:p>
        </w:tc>
        <w:tc>
          <w:tcPr>
            <w:tcW w:w="0" w:type="auto"/>
            <w:tcBorders>
              <w:top w:val="single" w:sz="6" w:space="0" w:color="CCCCCC"/>
              <w:left w:val="single" w:sz="6" w:space="0" w:color="CCCCCC"/>
              <w:bottom w:val="single" w:sz="6" w:space="0" w:color="E0E8EF"/>
              <w:right w:val="single" w:sz="6" w:space="0" w:color="CCCCCC"/>
            </w:tcBorders>
            <w:shd w:val="clear" w:color="auto" w:fill="F7F9FC"/>
            <w:tcMar>
              <w:top w:w="30" w:type="dxa"/>
              <w:left w:w="45" w:type="dxa"/>
              <w:bottom w:w="30" w:type="dxa"/>
              <w:right w:w="45" w:type="dxa"/>
            </w:tcMar>
            <w:vAlign w:val="center"/>
            <w:hideMark/>
          </w:tcPr>
          <w:p w14:paraId="46E69E2D" w14:textId="77777777" w:rsidR="00EC14F9" w:rsidRPr="00685912" w:rsidRDefault="00EC14F9" w:rsidP="00EC14F9">
            <w:pPr>
              <w:ind w:left="360"/>
              <w:rPr>
                <w:b/>
                <w:bCs/>
                <w:i/>
                <w:iCs/>
                <w:sz w:val="22"/>
                <w:szCs w:val="22"/>
              </w:rPr>
            </w:pPr>
            <w:r w:rsidRPr="00685912">
              <w:rPr>
                <w:b/>
                <w:bCs/>
                <w:i/>
                <w:iCs/>
                <w:sz w:val="22"/>
                <w:szCs w:val="22"/>
              </w:rPr>
              <w:lastRenderedPageBreak/>
              <w:t>8</w:t>
            </w:r>
            <w:r w:rsidRPr="00685912">
              <w:rPr>
                <w:rFonts w:ascii="Arial" w:hAnsi="Arial" w:cs="Arial"/>
                <w:b/>
                <w:bCs/>
                <w:i/>
                <w:iCs/>
                <w:sz w:val="22"/>
                <w:szCs w:val="22"/>
              </w:rPr>
              <w:t> </w:t>
            </w:r>
            <w:r w:rsidRPr="00685912">
              <w:rPr>
                <w:b/>
                <w:bCs/>
                <w:i/>
                <w:iCs/>
                <w:sz w:val="22"/>
                <w:szCs w:val="22"/>
              </w:rPr>
              <w:t xml:space="preserve">760 </w:t>
            </w:r>
            <w:r w:rsidRPr="00685912">
              <w:rPr>
                <w:rFonts w:ascii="Aptos" w:hAnsi="Aptos" w:cs="Aptos"/>
                <w:b/>
                <w:bCs/>
                <w:i/>
                <w:iCs/>
                <w:sz w:val="22"/>
                <w:szCs w:val="22"/>
              </w:rPr>
              <w:t>€</w:t>
            </w:r>
          </w:p>
        </w:tc>
        <w:tc>
          <w:tcPr>
            <w:tcW w:w="0" w:type="auto"/>
            <w:tcBorders>
              <w:top w:val="single" w:sz="6" w:space="0" w:color="CCCCCC"/>
              <w:left w:val="single" w:sz="6" w:space="0" w:color="CCCCCC"/>
              <w:bottom w:val="single" w:sz="6" w:space="0" w:color="E0E8EF"/>
              <w:right w:val="single" w:sz="6" w:space="0" w:color="CCCCCC"/>
            </w:tcBorders>
            <w:shd w:val="clear" w:color="auto" w:fill="F7F9FC"/>
            <w:tcMar>
              <w:top w:w="30" w:type="dxa"/>
              <w:left w:w="45" w:type="dxa"/>
              <w:bottom w:w="30" w:type="dxa"/>
              <w:right w:w="45" w:type="dxa"/>
            </w:tcMar>
            <w:vAlign w:val="center"/>
            <w:hideMark/>
          </w:tcPr>
          <w:p w14:paraId="184F0ADA" w14:textId="77777777" w:rsidR="00EC14F9" w:rsidRPr="00685912" w:rsidRDefault="00EC14F9" w:rsidP="00EC14F9">
            <w:pPr>
              <w:ind w:left="360"/>
              <w:rPr>
                <w:i/>
                <w:iCs/>
                <w:sz w:val="22"/>
                <w:szCs w:val="22"/>
              </w:rPr>
            </w:pPr>
            <w:r w:rsidRPr="00685912">
              <w:rPr>
                <w:i/>
                <w:iCs/>
                <w:sz w:val="22"/>
                <w:szCs w:val="22"/>
              </w:rPr>
              <w:t>78,9%</w:t>
            </w:r>
          </w:p>
        </w:tc>
        <w:tc>
          <w:tcPr>
            <w:tcW w:w="0" w:type="auto"/>
            <w:tcBorders>
              <w:top w:val="single" w:sz="6" w:space="0" w:color="CCCCCC"/>
              <w:left w:val="single" w:sz="6" w:space="0" w:color="CCCCCC"/>
              <w:bottom w:val="single" w:sz="6" w:space="0" w:color="E0E8EF"/>
              <w:right w:val="single" w:sz="6" w:space="0" w:color="CCD6E5"/>
            </w:tcBorders>
            <w:shd w:val="clear" w:color="auto" w:fill="F7F9FC"/>
            <w:tcMar>
              <w:top w:w="30" w:type="dxa"/>
              <w:left w:w="45" w:type="dxa"/>
              <w:bottom w:w="30" w:type="dxa"/>
              <w:right w:w="45" w:type="dxa"/>
            </w:tcMar>
            <w:vAlign w:val="center"/>
            <w:hideMark/>
          </w:tcPr>
          <w:p w14:paraId="2B601341" w14:textId="77777777" w:rsidR="00EC14F9" w:rsidRPr="00685912" w:rsidRDefault="00EC14F9" w:rsidP="00EC14F9">
            <w:pPr>
              <w:ind w:left="360"/>
              <w:rPr>
                <w:b/>
                <w:bCs/>
                <w:i/>
                <w:iCs/>
                <w:sz w:val="22"/>
                <w:szCs w:val="22"/>
              </w:rPr>
            </w:pPr>
            <w:r w:rsidRPr="00685912">
              <w:rPr>
                <w:b/>
                <w:bCs/>
                <w:i/>
                <w:iCs/>
                <w:sz w:val="22"/>
                <w:szCs w:val="22"/>
              </w:rPr>
              <w:t>105</w:t>
            </w:r>
            <w:r w:rsidRPr="00685912">
              <w:rPr>
                <w:rFonts w:ascii="Arial" w:hAnsi="Arial" w:cs="Arial"/>
                <w:b/>
                <w:bCs/>
                <w:i/>
                <w:iCs/>
                <w:sz w:val="22"/>
                <w:szCs w:val="22"/>
              </w:rPr>
              <w:t> </w:t>
            </w:r>
            <w:r w:rsidRPr="00685912">
              <w:rPr>
                <w:b/>
                <w:bCs/>
                <w:i/>
                <w:iCs/>
                <w:sz w:val="22"/>
                <w:szCs w:val="22"/>
              </w:rPr>
              <w:t xml:space="preserve">120 </w:t>
            </w:r>
            <w:r w:rsidRPr="00685912">
              <w:rPr>
                <w:rFonts w:ascii="Aptos" w:hAnsi="Aptos" w:cs="Aptos"/>
                <w:b/>
                <w:bCs/>
                <w:i/>
                <w:iCs/>
                <w:sz w:val="22"/>
                <w:szCs w:val="22"/>
              </w:rPr>
              <w:t>€</w:t>
            </w:r>
          </w:p>
        </w:tc>
      </w:tr>
      <w:tr w:rsidR="00EC14F9" w:rsidRPr="00685912" w14:paraId="107B3E57" w14:textId="77777777" w:rsidTr="00EC14F9">
        <w:trPr>
          <w:trHeight w:val="315"/>
        </w:trPr>
        <w:tc>
          <w:tcPr>
            <w:tcW w:w="0" w:type="auto"/>
            <w:tcBorders>
              <w:top w:val="single" w:sz="6" w:space="0" w:color="CCCCCC"/>
              <w:left w:val="single" w:sz="6" w:space="0" w:color="CCD6E5"/>
              <w:bottom w:val="single" w:sz="6" w:space="0" w:color="E0E8EF"/>
              <w:right w:val="single" w:sz="6" w:space="0" w:color="CCCCCC"/>
            </w:tcBorders>
            <w:tcMar>
              <w:top w:w="30" w:type="dxa"/>
              <w:left w:w="45" w:type="dxa"/>
              <w:bottom w:w="30" w:type="dxa"/>
              <w:right w:w="45" w:type="dxa"/>
            </w:tcMar>
            <w:vAlign w:val="center"/>
            <w:hideMark/>
          </w:tcPr>
          <w:p w14:paraId="753EA4CD" w14:textId="77777777" w:rsidR="00EC14F9" w:rsidRPr="00685912" w:rsidRDefault="00EC14F9" w:rsidP="00EC14F9">
            <w:pPr>
              <w:ind w:left="360"/>
              <w:rPr>
                <w:b/>
                <w:bCs/>
                <w:i/>
                <w:iCs/>
                <w:sz w:val="22"/>
                <w:szCs w:val="22"/>
              </w:rPr>
            </w:pPr>
            <w:r w:rsidRPr="00685912">
              <w:rPr>
                <w:b/>
                <w:bCs/>
                <w:i/>
                <w:iCs/>
                <w:sz w:val="22"/>
                <w:szCs w:val="22"/>
              </w:rPr>
              <w:t>AWS DMS</w:t>
            </w:r>
          </w:p>
        </w:tc>
        <w:tc>
          <w:tcPr>
            <w:tcW w:w="0" w:type="auto"/>
            <w:tcBorders>
              <w:top w:val="single" w:sz="6" w:space="0" w:color="CCCCCC"/>
              <w:left w:val="single" w:sz="6" w:space="0" w:color="CCCCCC"/>
              <w:bottom w:val="single" w:sz="6" w:space="0" w:color="E0E8EF"/>
              <w:right w:val="single" w:sz="6" w:space="0" w:color="CCCCCC"/>
            </w:tcBorders>
            <w:tcMar>
              <w:top w:w="30" w:type="dxa"/>
              <w:left w:w="45" w:type="dxa"/>
              <w:bottom w:w="30" w:type="dxa"/>
              <w:right w:w="45" w:type="dxa"/>
            </w:tcMar>
            <w:vAlign w:val="center"/>
            <w:hideMark/>
          </w:tcPr>
          <w:p w14:paraId="7F45513E" w14:textId="77777777" w:rsidR="00EC14F9" w:rsidRPr="00685912" w:rsidRDefault="00EC14F9" w:rsidP="00EC14F9">
            <w:pPr>
              <w:ind w:left="360"/>
              <w:rPr>
                <w:i/>
                <w:iCs/>
                <w:sz w:val="20"/>
                <w:szCs w:val="20"/>
              </w:rPr>
            </w:pPr>
            <w:r w:rsidRPr="00685912">
              <w:rPr>
                <w:i/>
                <w:iCs/>
                <w:sz w:val="20"/>
                <w:szCs w:val="20"/>
              </w:rPr>
              <w:t>2 instances de réplication (</w:t>
            </w:r>
            <w:proofErr w:type="gramStart"/>
            <w:r w:rsidRPr="00685912">
              <w:rPr>
                <w:i/>
                <w:iCs/>
                <w:sz w:val="20"/>
                <w:szCs w:val="20"/>
              </w:rPr>
              <w:t>dms.r5.xlarge</w:t>
            </w:r>
            <w:proofErr w:type="gramEnd"/>
            <w:r w:rsidRPr="00685912">
              <w:rPr>
                <w:i/>
                <w:iCs/>
                <w:sz w:val="20"/>
                <w:szCs w:val="20"/>
              </w:rPr>
              <w:t>) pour maintenir le flux CDC (milliers de transactions/jour depuis l'ERP/CRM). Métrique : ~0,30 € / heure / instance.</w:t>
            </w:r>
          </w:p>
        </w:tc>
        <w:tc>
          <w:tcPr>
            <w:tcW w:w="0" w:type="auto"/>
            <w:tcBorders>
              <w:top w:val="single" w:sz="6" w:space="0" w:color="CCCCCC"/>
              <w:left w:val="single" w:sz="6" w:space="0" w:color="CCCCCC"/>
              <w:bottom w:val="single" w:sz="6" w:space="0" w:color="E0E8EF"/>
              <w:right w:val="single" w:sz="6" w:space="0" w:color="CCCCCC"/>
            </w:tcBorders>
            <w:tcMar>
              <w:top w:w="30" w:type="dxa"/>
              <w:left w:w="45" w:type="dxa"/>
              <w:bottom w:w="30" w:type="dxa"/>
              <w:right w:w="45" w:type="dxa"/>
            </w:tcMar>
            <w:vAlign w:val="center"/>
            <w:hideMark/>
          </w:tcPr>
          <w:p w14:paraId="214AB2A2" w14:textId="77777777" w:rsidR="00EC14F9" w:rsidRPr="00685912" w:rsidRDefault="00EC14F9" w:rsidP="00EC14F9">
            <w:pPr>
              <w:ind w:left="360"/>
              <w:rPr>
                <w:b/>
                <w:bCs/>
                <w:i/>
                <w:iCs/>
                <w:sz w:val="22"/>
                <w:szCs w:val="22"/>
              </w:rPr>
            </w:pPr>
            <w:r w:rsidRPr="00685912">
              <w:rPr>
                <w:b/>
                <w:bCs/>
                <w:i/>
                <w:iCs/>
                <w:sz w:val="22"/>
                <w:szCs w:val="22"/>
              </w:rPr>
              <w:t>438 €</w:t>
            </w:r>
          </w:p>
        </w:tc>
        <w:tc>
          <w:tcPr>
            <w:tcW w:w="0" w:type="auto"/>
            <w:tcBorders>
              <w:top w:val="single" w:sz="6" w:space="0" w:color="CCCCCC"/>
              <w:left w:val="single" w:sz="6" w:space="0" w:color="CCCCCC"/>
              <w:bottom w:val="single" w:sz="6" w:space="0" w:color="E0E8EF"/>
              <w:right w:val="single" w:sz="6" w:space="0" w:color="CCCCCC"/>
            </w:tcBorders>
            <w:tcMar>
              <w:top w:w="30" w:type="dxa"/>
              <w:left w:w="45" w:type="dxa"/>
              <w:bottom w:w="30" w:type="dxa"/>
              <w:right w:w="45" w:type="dxa"/>
            </w:tcMar>
            <w:vAlign w:val="center"/>
            <w:hideMark/>
          </w:tcPr>
          <w:p w14:paraId="49B3B51C" w14:textId="77777777" w:rsidR="00EC14F9" w:rsidRPr="00685912" w:rsidRDefault="00EC14F9" w:rsidP="00EC14F9">
            <w:pPr>
              <w:ind w:left="360"/>
              <w:rPr>
                <w:i/>
                <w:iCs/>
                <w:sz w:val="22"/>
                <w:szCs w:val="22"/>
              </w:rPr>
            </w:pPr>
            <w:r w:rsidRPr="00685912">
              <w:rPr>
                <w:i/>
                <w:iCs/>
                <w:sz w:val="22"/>
                <w:szCs w:val="22"/>
              </w:rPr>
              <w:t>3,9%</w:t>
            </w:r>
          </w:p>
        </w:tc>
        <w:tc>
          <w:tcPr>
            <w:tcW w:w="0" w:type="auto"/>
            <w:tcBorders>
              <w:top w:val="single" w:sz="6" w:space="0" w:color="CCCCCC"/>
              <w:left w:val="single" w:sz="6" w:space="0" w:color="CCCCCC"/>
              <w:bottom w:val="single" w:sz="6" w:space="0" w:color="E0E8EF"/>
              <w:right w:val="single" w:sz="6" w:space="0" w:color="CCD6E5"/>
            </w:tcBorders>
            <w:tcMar>
              <w:top w:w="30" w:type="dxa"/>
              <w:left w:w="45" w:type="dxa"/>
              <w:bottom w:w="30" w:type="dxa"/>
              <w:right w:w="45" w:type="dxa"/>
            </w:tcMar>
            <w:vAlign w:val="center"/>
            <w:hideMark/>
          </w:tcPr>
          <w:p w14:paraId="0E37DF39" w14:textId="77777777" w:rsidR="00EC14F9" w:rsidRPr="00685912" w:rsidRDefault="00EC14F9" w:rsidP="00EC14F9">
            <w:pPr>
              <w:ind w:left="360"/>
              <w:rPr>
                <w:b/>
                <w:bCs/>
                <w:i/>
                <w:iCs/>
                <w:sz w:val="22"/>
                <w:szCs w:val="22"/>
              </w:rPr>
            </w:pPr>
            <w:r w:rsidRPr="00685912">
              <w:rPr>
                <w:b/>
                <w:bCs/>
                <w:i/>
                <w:iCs/>
                <w:sz w:val="22"/>
                <w:szCs w:val="22"/>
              </w:rPr>
              <w:t>5</w:t>
            </w:r>
            <w:r w:rsidRPr="00685912">
              <w:rPr>
                <w:rFonts w:ascii="Arial" w:hAnsi="Arial" w:cs="Arial"/>
                <w:b/>
                <w:bCs/>
                <w:i/>
                <w:iCs/>
                <w:sz w:val="22"/>
                <w:szCs w:val="22"/>
              </w:rPr>
              <w:t> </w:t>
            </w:r>
            <w:r w:rsidRPr="00685912">
              <w:rPr>
                <w:b/>
                <w:bCs/>
                <w:i/>
                <w:iCs/>
                <w:sz w:val="22"/>
                <w:szCs w:val="22"/>
              </w:rPr>
              <w:t xml:space="preserve">256 </w:t>
            </w:r>
            <w:r w:rsidRPr="00685912">
              <w:rPr>
                <w:rFonts w:ascii="Aptos" w:hAnsi="Aptos" w:cs="Aptos"/>
                <w:b/>
                <w:bCs/>
                <w:i/>
                <w:iCs/>
                <w:sz w:val="22"/>
                <w:szCs w:val="22"/>
              </w:rPr>
              <w:t>€</w:t>
            </w:r>
          </w:p>
        </w:tc>
      </w:tr>
      <w:tr w:rsidR="00EC14F9" w:rsidRPr="00685912" w14:paraId="55B5E3BF" w14:textId="77777777" w:rsidTr="00EC14F9">
        <w:trPr>
          <w:trHeight w:val="315"/>
        </w:trPr>
        <w:tc>
          <w:tcPr>
            <w:tcW w:w="0" w:type="auto"/>
            <w:tcBorders>
              <w:top w:val="single" w:sz="6" w:space="0" w:color="CCCCCC"/>
              <w:left w:val="single" w:sz="6" w:space="0" w:color="CCD6E5"/>
              <w:bottom w:val="single" w:sz="6" w:space="0" w:color="E0E8EF"/>
              <w:right w:val="single" w:sz="6" w:space="0" w:color="CCCCCC"/>
            </w:tcBorders>
            <w:shd w:val="clear" w:color="auto" w:fill="F7F9FC"/>
            <w:tcMar>
              <w:top w:w="30" w:type="dxa"/>
              <w:left w:w="45" w:type="dxa"/>
              <w:bottom w:w="30" w:type="dxa"/>
              <w:right w:w="45" w:type="dxa"/>
            </w:tcMar>
            <w:vAlign w:val="center"/>
            <w:hideMark/>
          </w:tcPr>
          <w:p w14:paraId="63133EA9" w14:textId="77777777" w:rsidR="00EC14F9" w:rsidRPr="00685912" w:rsidRDefault="00EC14F9" w:rsidP="00EC14F9">
            <w:pPr>
              <w:ind w:left="360"/>
              <w:rPr>
                <w:b/>
                <w:bCs/>
                <w:i/>
                <w:iCs/>
                <w:sz w:val="22"/>
                <w:szCs w:val="22"/>
              </w:rPr>
            </w:pPr>
            <w:proofErr w:type="spellStart"/>
            <w:r w:rsidRPr="00685912">
              <w:rPr>
                <w:b/>
                <w:bCs/>
                <w:i/>
                <w:iCs/>
                <w:sz w:val="22"/>
                <w:szCs w:val="22"/>
              </w:rPr>
              <w:t>Redpanda</w:t>
            </w:r>
            <w:proofErr w:type="spellEnd"/>
            <w:r w:rsidRPr="00685912">
              <w:rPr>
                <w:b/>
                <w:bCs/>
                <w:i/>
                <w:iCs/>
                <w:sz w:val="22"/>
                <w:szCs w:val="22"/>
              </w:rPr>
              <w:t xml:space="preserve"> (sur EC2)</w:t>
            </w:r>
          </w:p>
        </w:tc>
        <w:tc>
          <w:tcPr>
            <w:tcW w:w="0" w:type="auto"/>
            <w:tcBorders>
              <w:top w:val="single" w:sz="6" w:space="0" w:color="CCCCCC"/>
              <w:left w:val="single" w:sz="6" w:space="0" w:color="CCCCCC"/>
              <w:bottom w:val="single" w:sz="6" w:space="0" w:color="E0E8EF"/>
              <w:right w:val="single" w:sz="6" w:space="0" w:color="CCCCCC"/>
            </w:tcBorders>
            <w:shd w:val="clear" w:color="auto" w:fill="F7F9FC"/>
            <w:tcMar>
              <w:top w:w="30" w:type="dxa"/>
              <w:left w:w="45" w:type="dxa"/>
              <w:bottom w:w="30" w:type="dxa"/>
              <w:right w:w="45" w:type="dxa"/>
            </w:tcMar>
            <w:vAlign w:val="center"/>
            <w:hideMark/>
          </w:tcPr>
          <w:p w14:paraId="7457B5EE" w14:textId="77777777" w:rsidR="00EC14F9" w:rsidRPr="00685912" w:rsidRDefault="00EC14F9" w:rsidP="00EC14F9">
            <w:pPr>
              <w:ind w:left="360"/>
              <w:rPr>
                <w:i/>
                <w:iCs/>
                <w:sz w:val="20"/>
                <w:szCs w:val="20"/>
              </w:rPr>
            </w:pPr>
            <w:r w:rsidRPr="00685912">
              <w:rPr>
                <w:i/>
                <w:iCs/>
                <w:sz w:val="20"/>
                <w:szCs w:val="20"/>
              </w:rPr>
              <w:t>Cluster de 3 instances (m</w:t>
            </w:r>
            <w:proofErr w:type="gramStart"/>
            <w:r w:rsidRPr="00685912">
              <w:rPr>
                <w:i/>
                <w:iCs/>
                <w:sz w:val="20"/>
                <w:szCs w:val="20"/>
              </w:rPr>
              <w:t>5.xlarge</w:t>
            </w:r>
            <w:proofErr w:type="gramEnd"/>
            <w:r w:rsidRPr="00685912">
              <w:rPr>
                <w:i/>
                <w:iCs/>
                <w:sz w:val="20"/>
                <w:szCs w:val="20"/>
              </w:rPr>
              <w:t>) + disques SSD EBS pour encaisser les 50 Go/mois d'IoT en temps réel. Métrique : ~0,21 € / heure / instance + stockage.</w:t>
            </w:r>
          </w:p>
        </w:tc>
        <w:tc>
          <w:tcPr>
            <w:tcW w:w="0" w:type="auto"/>
            <w:tcBorders>
              <w:top w:val="single" w:sz="6" w:space="0" w:color="CCCCCC"/>
              <w:left w:val="single" w:sz="6" w:space="0" w:color="CCCCCC"/>
              <w:bottom w:val="single" w:sz="6" w:space="0" w:color="E0E8EF"/>
              <w:right w:val="single" w:sz="6" w:space="0" w:color="CCCCCC"/>
            </w:tcBorders>
            <w:shd w:val="clear" w:color="auto" w:fill="F7F9FC"/>
            <w:tcMar>
              <w:top w:w="30" w:type="dxa"/>
              <w:left w:w="45" w:type="dxa"/>
              <w:bottom w:w="30" w:type="dxa"/>
              <w:right w:w="45" w:type="dxa"/>
            </w:tcMar>
            <w:vAlign w:val="center"/>
            <w:hideMark/>
          </w:tcPr>
          <w:p w14:paraId="63EB51D0" w14:textId="77777777" w:rsidR="00EC14F9" w:rsidRPr="00685912" w:rsidRDefault="00EC14F9" w:rsidP="00EC14F9">
            <w:pPr>
              <w:ind w:left="360"/>
              <w:rPr>
                <w:b/>
                <w:bCs/>
                <w:i/>
                <w:iCs/>
                <w:sz w:val="22"/>
                <w:szCs w:val="22"/>
              </w:rPr>
            </w:pPr>
            <w:r w:rsidRPr="00685912">
              <w:rPr>
                <w:b/>
                <w:bCs/>
                <w:i/>
                <w:iCs/>
                <w:sz w:val="22"/>
                <w:szCs w:val="22"/>
              </w:rPr>
              <w:t>550 €</w:t>
            </w:r>
          </w:p>
        </w:tc>
        <w:tc>
          <w:tcPr>
            <w:tcW w:w="0" w:type="auto"/>
            <w:tcBorders>
              <w:top w:val="single" w:sz="6" w:space="0" w:color="CCCCCC"/>
              <w:left w:val="single" w:sz="6" w:space="0" w:color="CCCCCC"/>
              <w:bottom w:val="single" w:sz="6" w:space="0" w:color="E0E8EF"/>
              <w:right w:val="single" w:sz="6" w:space="0" w:color="CCCCCC"/>
            </w:tcBorders>
            <w:shd w:val="clear" w:color="auto" w:fill="F7F9FC"/>
            <w:tcMar>
              <w:top w:w="30" w:type="dxa"/>
              <w:left w:w="45" w:type="dxa"/>
              <w:bottom w:w="30" w:type="dxa"/>
              <w:right w:w="45" w:type="dxa"/>
            </w:tcMar>
            <w:vAlign w:val="center"/>
            <w:hideMark/>
          </w:tcPr>
          <w:p w14:paraId="55AE7732" w14:textId="77777777" w:rsidR="00EC14F9" w:rsidRPr="00685912" w:rsidRDefault="00EC14F9" w:rsidP="00EC14F9">
            <w:pPr>
              <w:ind w:left="360"/>
              <w:rPr>
                <w:i/>
                <w:iCs/>
                <w:sz w:val="22"/>
                <w:szCs w:val="22"/>
              </w:rPr>
            </w:pPr>
            <w:r w:rsidRPr="00685912">
              <w:rPr>
                <w:i/>
                <w:iCs/>
                <w:sz w:val="22"/>
                <w:szCs w:val="22"/>
              </w:rPr>
              <w:t>5,0%</w:t>
            </w:r>
          </w:p>
        </w:tc>
        <w:tc>
          <w:tcPr>
            <w:tcW w:w="0" w:type="auto"/>
            <w:tcBorders>
              <w:top w:val="single" w:sz="6" w:space="0" w:color="CCCCCC"/>
              <w:left w:val="single" w:sz="6" w:space="0" w:color="CCCCCC"/>
              <w:bottom w:val="single" w:sz="6" w:space="0" w:color="E0E8EF"/>
              <w:right w:val="single" w:sz="6" w:space="0" w:color="CCD6E5"/>
            </w:tcBorders>
            <w:shd w:val="clear" w:color="auto" w:fill="F7F9FC"/>
            <w:tcMar>
              <w:top w:w="30" w:type="dxa"/>
              <w:left w:w="45" w:type="dxa"/>
              <w:bottom w:w="30" w:type="dxa"/>
              <w:right w:w="45" w:type="dxa"/>
            </w:tcMar>
            <w:vAlign w:val="center"/>
            <w:hideMark/>
          </w:tcPr>
          <w:p w14:paraId="211FA2D1" w14:textId="77777777" w:rsidR="00EC14F9" w:rsidRPr="00685912" w:rsidRDefault="00EC14F9" w:rsidP="00EC14F9">
            <w:pPr>
              <w:ind w:left="360"/>
              <w:rPr>
                <w:b/>
                <w:bCs/>
                <w:i/>
                <w:iCs/>
                <w:sz w:val="22"/>
                <w:szCs w:val="22"/>
              </w:rPr>
            </w:pPr>
            <w:r w:rsidRPr="00685912">
              <w:rPr>
                <w:b/>
                <w:bCs/>
                <w:i/>
                <w:iCs/>
                <w:sz w:val="22"/>
                <w:szCs w:val="22"/>
              </w:rPr>
              <w:t>6</w:t>
            </w:r>
            <w:r w:rsidRPr="00685912">
              <w:rPr>
                <w:rFonts w:ascii="Arial" w:hAnsi="Arial" w:cs="Arial"/>
                <w:b/>
                <w:bCs/>
                <w:i/>
                <w:iCs/>
                <w:sz w:val="22"/>
                <w:szCs w:val="22"/>
              </w:rPr>
              <w:t> </w:t>
            </w:r>
            <w:r w:rsidRPr="00685912">
              <w:rPr>
                <w:b/>
                <w:bCs/>
                <w:i/>
                <w:iCs/>
                <w:sz w:val="22"/>
                <w:szCs w:val="22"/>
              </w:rPr>
              <w:t xml:space="preserve">600 </w:t>
            </w:r>
            <w:r w:rsidRPr="00685912">
              <w:rPr>
                <w:rFonts w:ascii="Aptos" w:hAnsi="Aptos" w:cs="Aptos"/>
                <w:b/>
                <w:bCs/>
                <w:i/>
                <w:iCs/>
                <w:sz w:val="22"/>
                <w:szCs w:val="22"/>
              </w:rPr>
              <w:t>€</w:t>
            </w:r>
          </w:p>
        </w:tc>
      </w:tr>
      <w:tr w:rsidR="00EC14F9" w:rsidRPr="00685912" w14:paraId="57501243" w14:textId="77777777" w:rsidTr="00EC14F9">
        <w:trPr>
          <w:trHeight w:val="315"/>
        </w:trPr>
        <w:tc>
          <w:tcPr>
            <w:tcW w:w="0" w:type="auto"/>
            <w:tcBorders>
              <w:top w:val="single" w:sz="6" w:space="0" w:color="CCCCCC"/>
              <w:left w:val="single" w:sz="6" w:space="0" w:color="CCD6E5"/>
              <w:bottom w:val="single" w:sz="6" w:space="0" w:color="E0E8EF"/>
              <w:right w:val="single" w:sz="6" w:space="0" w:color="CCCCCC"/>
            </w:tcBorders>
            <w:tcMar>
              <w:top w:w="30" w:type="dxa"/>
              <w:left w:w="45" w:type="dxa"/>
              <w:bottom w:w="30" w:type="dxa"/>
              <w:right w:w="45" w:type="dxa"/>
            </w:tcMar>
            <w:vAlign w:val="center"/>
            <w:hideMark/>
          </w:tcPr>
          <w:p w14:paraId="3DEEFC97" w14:textId="77777777" w:rsidR="00EC14F9" w:rsidRPr="00685912" w:rsidRDefault="00EC14F9" w:rsidP="00EC14F9">
            <w:pPr>
              <w:ind w:left="360"/>
              <w:rPr>
                <w:b/>
                <w:bCs/>
                <w:i/>
                <w:iCs/>
                <w:sz w:val="22"/>
                <w:szCs w:val="22"/>
              </w:rPr>
            </w:pPr>
            <w:r w:rsidRPr="00685912">
              <w:rPr>
                <w:b/>
                <w:bCs/>
                <w:i/>
                <w:iCs/>
                <w:sz w:val="22"/>
                <w:szCs w:val="22"/>
              </w:rPr>
              <w:t>IAM Identity Center</w:t>
            </w:r>
          </w:p>
        </w:tc>
        <w:tc>
          <w:tcPr>
            <w:tcW w:w="0" w:type="auto"/>
            <w:tcBorders>
              <w:top w:val="single" w:sz="6" w:space="0" w:color="CCCCCC"/>
              <w:left w:val="single" w:sz="6" w:space="0" w:color="CCCCCC"/>
              <w:bottom w:val="single" w:sz="6" w:space="0" w:color="E0E8EF"/>
              <w:right w:val="single" w:sz="6" w:space="0" w:color="CCCCCC"/>
            </w:tcBorders>
            <w:tcMar>
              <w:top w:w="30" w:type="dxa"/>
              <w:left w:w="45" w:type="dxa"/>
              <w:bottom w:w="30" w:type="dxa"/>
              <w:right w:w="45" w:type="dxa"/>
            </w:tcMar>
            <w:vAlign w:val="center"/>
            <w:hideMark/>
          </w:tcPr>
          <w:p w14:paraId="145CFD68" w14:textId="77777777" w:rsidR="00EC14F9" w:rsidRPr="00685912" w:rsidRDefault="00EC14F9" w:rsidP="00EC14F9">
            <w:pPr>
              <w:ind w:left="360"/>
              <w:rPr>
                <w:i/>
                <w:iCs/>
                <w:sz w:val="20"/>
                <w:szCs w:val="20"/>
              </w:rPr>
            </w:pPr>
            <w:r w:rsidRPr="00685912">
              <w:rPr>
                <w:i/>
                <w:iCs/>
                <w:sz w:val="20"/>
                <w:szCs w:val="20"/>
              </w:rPr>
              <w:t>Fédération SSO avec l'Active Directory existant. Métrique : Service inclus sans surcoût (gratuit).</w:t>
            </w:r>
          </w:p>
        </w:tc>
        <w:tc>
          <w:tcPr>
            <w:tcW w:w="0" w:type="auto"/>
            <w:tcBorders>
              <w:top w:val="single" w:sz="6" w:space="0" w:color="CCCCCC"/>
              <w:left w:val="single" w:sz="6" w:space="0" w:color="CCCCCC"/>
              <w:bottom w:val="single" w:sz="6" w:space="0" w:color="E0E8EF"/>
              <w:right w:val="single" w:sz="6" w:space="0" w:color="CCCCCC"/>
            </w:tcBorders>
            <w:tcMar>
              <w:top w:w="30" w:type="dxa"/>
              <w:left w:w="45" w:type="dxa"/>
              <w:bottom w:w="30" w:type="dxa"/>
              <w:right w:w="45" w:type="dxa"/>
            </w:tcMar>
            <w:vAlign w:val="center"/>
            <w:hideMark/>
          </w:tcPr>
          <w:p w14:paraId="4E723C5F" w14:textId="77777777" w:rsidR="00EC14F9" w:rsidRPr="00685912" w:rsidRDefault="00EC14F9" w:rsidP="00EC14F9">
            <w:pPr>
              <w:ind w:left="360"/>
              <w:rPr>
                <w:b/>
                <w:bCs/>
                <w:i/>
                <w:iCs/>
                <w:sz w:val="22"/>
                <w:szCs w:val="22"/>
              </w:rPr>
            </w:pPr>
            <w:r w:rsidRPr="00685912">
              <w:rPr>
                <w:b/>
                <w:bCs/>
                <w:i/>
                <w:iCs/>
                <w:sz w:val="22"/>
                <w:szCs w:val="22"/>
              </w:rPr>
              <w:t>0 €</w:t>
            </w:r>
          </w:p>
        </w:tc>
        <w:tc>
          <w:tcPr>
            <w:tcW w:w="0" w:type="auto"/>
            <w:tcBorders>
              <w:top w:val="single" w:sz="6" w:space="0" w:color="CCCCCC"/>
              <w:left w:val="single" w:sz="6" w:space="0" w:color="CCCCCC"/>
              <w:bottom w:val="single" w:sz="6" w:space="0" w:color="E0E8EF"/>
              <w:right w:val="single" w:sz="6" w:space="0" w:color="CCCCCC"/>
            </w:tcBorders>
            <w:tcMar>
              <w:top w:w="30" w:type="dxa"/>
              <w:left w:w="45" w:type="dxa"/>
              <w:bottom w:w="30" w:type="dxa"/>
              <w:right w:w="45" w:type="dxa"/>
            </w:tcMar>
            <w:vAlign w:val="center"/>
            <w:hideMark/>
          </w:tcPr>
          <w:p w14:paraId="0F82EE31" w14:textId="77777777" w:rsidR="00EC14F9" w:rsidRPr="00685912" w:rsidRDefault="00EC14F9" w:rsidP="00EC14F9">
            <w:pPr>
              <w:ind w:left="360"/>
              <w:rPr>
                <w:i/>
                <w:iCs/>
                <w:sz w:val="22"/>
                <w:szCs w:val="22"/>
              </w:rPr>
            </w:pPr>
            <w:r w:rsidRPr="00685912">
              <w:rPr>
                <w:i/>
                <w:iCs/>
                <w:sz w:val="22"/>
                <w:szCs w:val="22"/>
              </w:rPr>
              <w:t>0,0%</w:t>
            </w:r>
          </w:p>
        </w:tc>
        <w:tc>
          <w:tcPr>
            <w:tcW w:w="0" w:type="auto"/>
            <w:tcBorders>
              <w:top w:val="single" w:sz="6" w:space="0" w:color="CCCCCC"/>
              <w:left w:val="single" w:sz="6" w:space="0" w:color="CCCCCC"/>
              <w:bottom w:val="single" w:sz="6" w:space="0" w:color="E0E8EF"/>
              <w:right w:val="single" w:sz="6" w:space="0" w:color="CCD6E5"/>
            </w:tcBorders>
            <w:tcMar>
              <w:top w:w="30" w:type="dxa"/>
              <w:left w:w="45" w:type="dxa"/>
              <w:bottom w:w="30" w:type="dxa"/>
              <w:right w:w="45" w:type="dxa"/>
            </w:tcMar>
            <w:vAlign w:val="center"/>
            <w:hideMark/>
          </w:tcPr>
          <w:p w14:paraId="2CF893EF" w14:textId="77777777" w:rsidR="00EC14F9" w:rsidRPr="00685912" w:rsidRDefault="00EC14F9" w:rsidP="00EC14F9">
            <w:pPr>
              <w:ind w:left="360"/>
              <w:rPr>
                <w:b/>
                <w:bCs/>
                <w:i/>
                <w:iCs/>
                <w:sz w:val="22"/>
                <w:szCs w:val="22"/>
              </w:rPr>
            </w:pPr>
            <w:r w:rsidRPr="00685912">
              <w:rPr>
                <w:b/>
                <w:bCs/>
                <w:i/>
                <w:iCs/>
                <w:sz w:val="22"/>
                <w:szCs w:val="22"/>
              </w:rPr>
              <w:t>0 €</w:t>
            </w:r>
          </w:p>
        </w:tc>
      </w:tr>
      <w:tr w:rsidR="00EC14F9" w:rsidRPr="00685912" w14:paraId="3EF6E315" w14:textId="77777777" w:rsidTr="00EC14F9">
        <w:trPr>
          <w:trHeight w:val="315"/>
        </w:trPr>
        <w:tc>
          <w:tcPr>
            <w:tcW w:w="0" w:type="auto"/>
            <w:tcBorders>
              <w:top w:val="single" w:sz="6" w:space="0" w:color="CCCCCC"/>
              <w:left w:val="single" w:sz="6" w:space="0" w:color="CCD6E5"/>
              <w:bottom w:val="single" w:sz="12" w:space="0" w:color="1E3A89"/>
              <w:right w:val="single" w:sz="6" w:space="0" w:color="CCCCCC"/>
            </w:tcBorders>
            <w:shd w:val="clear" w:color="auto" w:fill="F7F9FC"/>
            <w:tcMar>
              <w:top w:w="30" w:type="dxa"/>
              <w:left w:w="45" w:type="dxa"/>
              <w:bottom w:w="30" w:type="dxa"/>
              <w:right w:w="45" w:type="dxa"/>
            </w:tcMar>
            <w:vAlign w:val="center"/>
            <w:hideMark/>
          </w:tcPr>
          <w:p w14:paraId="35D97765" w14:textId="77777777" w:rsidR="00EC14F9" w:rsidRPr="00685912" w:rsidRDefault="00EC14F9" w:rsidP="00EC14F9">
            <w:pPr>
              <w:ind w:left="360"/>
              <w:rPr>
                <w:b/>
                <w:bCs/>
                <w:i/>
                <w:iCs/>
                <w:sz w:val="22"/>
                <w:szCs w:val="22"/>
              </w:rPr>
            </w:pPr>
            <w:r w:rsidRPr="00685912">
              <w:rPr>
                <w:b/>
                <w:bCs/>
                <w:i/>
                <w:iCs/>
                <w:sz w:val="22"/>
                <w:szCs w:val="22"/>
              </w:rPr>
              <w:t xml:space="preserve">Amazon </w:t>
            </w:r>
            <w:proofErr w:type="spellStart"/>
            <w:r w:rsidRPr="00685912">
              <w:rPr>
                <w:b/>
                <w:bCs/>
                <w:i/>
                <w:iCs/>
                <w:sz w:val="22"/>
                <w:szCs w:val="22"/>
              </w:rPr>
              <w:t>CloudWatch</w:t>
            </w:r>
            <w:proofErr w:type="spellEnd"/>
          </w:p>
        </w:tc>
        <w:tc>
          <w:tcPr>
            <w:tcW w:w="0" w:type="auto"/>
            <w:tcBorders>
              <w:top w:val="single" w:sz="6" w:space="0" w:color="CCCCCC"/>
              <w:left w:val="single" w:sz="6" w:space="0" w:color="CCCCCC"/>
              <w:bottom w:val="single" w:sz="12" w:space="0" w:color="1E3A89"/>
              <w:right w:val="single" w:sz="6" w:space="0" w:color="CCCCCC"/>
            </w:tcBorders>
            <w:shd w:val="clear" w:color="auto" w:fill="F7F9FC"/>
            <w:tcMar>
              <w:top w:w="30" w:type="dxa"/>
              <w:left w:w="45" w:type="dxa"/>
              <w:bottom w:w="30" w:type="dxa"/>
              <w:right w:w="45" w:type="dxa"/>
            </w:tcMar>
            <w:vAlign w:val="center"/>
            <w:hideMark/>
          </w:tcPr>
          <w:p w14:paraId="72C63C79" w14:textId="77777777" w:rsidR="00EC14F9" w:rsidRPr="00685912" w:rsidRDefault="00EC14F9" w:rsidP="00EC14F9">
            <w:pPr>
              <w:ind w:left="360"/>
              <w:rPr>
                <w:i/>
                <w:iCs/>
                <w:sz w:val="20"/>
                <w:szCs w:val="20"/>
              </w:rPr>
            </w:pPr>
            <w:r w:rsidRPr="00685912">
              <w:rPr>
                <w:i/>
                <w:iCs/>
                <w:sz w:val="20"/>
                <w:szCs w:val="20"/>
              </w:rPr>
              <w:t>Ingestion de logs et tableaux de bord (base estimée à 250 Go de logs). Métriques : ~0,60 € / Go ingéré et ~0,30 € / métrique custom.</w:t>
            </w:r>
          </w:p>
        </w:tc>
        <w:tc>
          <w:tcPr>
            <w:tcW w:w="0" w:type="auto"/>
            <w:tcBorders>
              <w:top w:val="single" w:sz="6" w:space="0" w:color="CCCCCC"/>
              <w:left w:val="single" w:sz="6" w:space="0" w:color="CCCCCC"/>
              <w:bottom w:val="single" w:sz="12" w:space="0" w:color="1E3A89"/>
              <w:right w:val="single" w:sz="6" w:space="0" w:color="CCCCCC"/>
            </w:tcBorders>
            <w:shd w:val="clear" w:color="auto" w:fill="F7F9FC"/>
            <w:tcMar>
              <w:top w:w="30" w:type="dxa"/>
              <w:left w:w="45" w:type="dxa"/>
              <w:bottom w:w="30" w:type="dxa"/>
              <w:right w:w="45" w:type="dxa"/>
            </w:tcMar>
            <w:vAlign w:val="center"/>
            <w:hideMark/>
          </w:tcPr>
          <w:p w14:paraId="3A0AE58B" w14:textId="77777777" w:rsidR="00EC14F9" w:rsidRPr="00685912" w:rsidRDefault="00EC14F9" w:rsidP="00EC14F9">
            <w:pPr>
              <w:ind w:left="360"/>
              <w:rPr>
                <w:b/>
                <w:bCs/>
                <w:i/>
                <w:iCs/>
                <w:sz w:val="22"/>
                <w:szCs w:val="22"/>
              </w:rPr>
            </w:pPr>
            <w:r w:rsidRPr="00685912">
              <w:rPr>
                <w:b/>
                <w:bCs/>
                <w:i/>
                <w:iCs/>
                <w:sz w:val="22"/>
                <w:szCs w:val="22"/>
              </w:rPr>
              <w:t>150 €</w:t>
            </w:r>
          </w:p>
        </w:tc>
        <w:tc>
          <w:tcPr>
            <w:tcW w:w="0" w:type="auto"/>
            <w:tcBorders>
              <w:top w:val="single" w:sz="6" w:space="0" w:color="CCCCCC"/>
              <w:left w:val="single" w:sz="6" w:space="0" w:color="CCCCCC"/>
              <w:bottom w:val="single" w:sz="12" w:space="0" w:color="1E3A89"/>
              <w:right w:val="single" w:sz="6" w:space="0" w:color="CCCCCC"/>
            </w:tcBorders>
            <w:shd w:val="clear" w:color="auto" w:fill="F7F9FC"/>
            <w:tcMar>
              <w:top w:w="30" w:type="dxa"/>
              <w:left w:w="45" w:type="dxa"/>
              <w:bottom w:w="30" w:type="dxa"/>
              <w:right w:w="45" w:type="dxa"/>
            </w:tcMar>
            <w:vAlign w:val="center"/>
            <w:hideMark/>
          </w:tcPr>
          <w:p w14:paraId="4F14DB70" w14:textId="77777777" w:rsidR="00EC14F9" w:rsidRPr="00685912" w:rsidRDefault="00EC14F9" w:rsidP="00EC14F9">
            <w:pPr>
              <w:ind w:left="360"/>
              <w:rPr>
                <w:i/>
                <w:iCs/>
                <w:sz w:val="22"/>
                <w:szCs w:val="22"/>
              </w:rPr>
            </w:pPr>
            <w:r w:rsidRPr="00685912">
              <w:rPr>
                <w:i/>
                <w:iCs/>
                <w:sz w:val="22"/>
                <w:szCs w:val="22"/>
              </w:rPr>
              <w:t>1,4%</w:t>
            </w:r>
          </w:p>
        </w:tc>
        <w:tc>
          <w:tcPr>
            <w:tcW w:w="0" w:type="auto"/>
            <w:tcBorders>
              <w:top w:val="single" w:sz="6" w:space="0" w:color="CCCCCC"/>
              <w:left w:val="single" w:sz="6" w:space="0" w:color="CCCCCC"/>
              <w:bottom w:val="single" w:sz="12" w:space="0" w:color="1E3A89"/>
              <w:right w:val="single" w:sz="6" w:space="0" w:color="CCD6E5"/>
            </w:tcBorders>
            <w:shd w:val="clear" w:color="auto" w:fill="F7F9FC"/>
            <w:tcMar>
              <w:top w:w="30" w:type="dxa"/>
              <w:left w:w="45" w:type="dxa"/>
              <w:bottom w:w="30" w:type="dxa"/>
              <w:right w:w="45" w:type="dxa"/>
            </w:tcMar>
            <w:vAlign w:val="center"/>
            <w:hideMark/>
          </w:tcPr>
          <w:p w14:paraId="6E333EA3" w14:textId="77777777" w:rsidR="00EC14F9" w:rsidRPr="00685912" w:rsidRDefault="00EC14F9" w:rsidP="00EC14F9">
            <w:pPr>
              <w:ind w:left="360"/>
              <w:rPr>
                <w:b/>
                <w:bCs/>
                <w:i/>
                <w:iCs/>
                <w:sz w:val="22"/>
                <w:szCs w:val="22"/>
              </w:rPr>
            </w:pPr>
            <w:r w:rsidRPr="00685912">
              <w:rPr>
                <w:b/>
                <w:bCs/>
                <w:i/>
                <w:iCs/>
                <w:sz w:val="22"/>
                <w:szCs w:val="22"/>
              </w:rPr>
              <w:t>1</w:t>
            </w:r>
            <w:r w:rsidRPr="00685912">
              <w:rPr>
                <w:rFonts w:ascii="Arial" w:hAnsi="Arial" w:cs="Arial"/>
                <w:b/>
                <w:bCs/>
                <w:i/>
                <w:iCs/>
                <w:sz w:val="22"/>
                <w:szCs w:val="22"/>
              </w:rPr>
              <w:t> </w:t>
            </w:r>
            <w:r w:rsidRPr="00685912">
              <w:rPr>
                <w:b/>
                <w:bCs/>
                <w:i/>
                <w:iCs/>
                <w:sz w:val="22"/>
                <w:szCs w:val="22"/>
              </w:rPr>
              <w:t xml:space="preserve">800 </w:t>
            </w:r>
            <w:r w:rsidRPr="00685912">
              <w:rPr>
                <w:rFonts w:ascii="Aptos" w:hAnsi="Aptos" w:cs="Aptos"/>
                <w:b/>
                <w:bCs/>
                <w:i/>
                <w:iCs/>
                <w:sz w:val="22"/>
                <w:szCs w:val="22"/>
              </w:rPr>
              <w:t>€</w:t>
            </w:r>
          </w:p>
        </w:tc>
      </w:tr>
      <w:tr w:rsidR="00EC14F9" w:rsidRPr="00685912" w14:paraId="2B095F02" w14:textId="77777777" w:rsidTr="00EC14F9">
        <w:trPr>
          <w:trHeight w:val="480"/>
        </w:trPr>
        <w:tc>
          <w:tcPr>
            <w:tcW w:w="0" w:type="auto"/>
            <w:tcBorders>
              <w:top w:val="single" w:sz="6" w:space="0" w:color="CCCCCC"/>
              <w:left w:val="single" w:sz="6" w:space="0" w:color="CCD6E5"/>
              <w:bottom w:val="double" w:sz="6" w:space="0" w:color="1E3A89"/>
              <w:right w:val="single" w:sz="6" w:space="0" w:color="CCCCCC"/>
            </w:tcBorders>
            <w:shd w:val="clear" w:color="auto" w:fill="EAEFF9"/>
            <w:tcMar>
              <w:top w:w="30" w:type="dxa"/>
              <w:left w:w="45" w:type="dxa"/>
              <w:bottom w:w="30" w:type="dxa"/>
              <w:right w:w="45" w:type="dxa"/>
            </w:tcMar>
            <w:vAlign w:val="center"/>
            <w:hideMark/>
          </w:tcPr>
          <w:p w14:paraId="20727DD0" w14:textId="77777777" w:rsidR="00EC14F9" w:rsidRPr="00685912" w:rsidRDefault="00EC14F9" w:rsidP="00EC14F9">
            <w:pPr>
              <w:ind w:left="360"/>
              <w:rPr>
                <w:b/>
                <w:bCs/>
                <w:i/>
                <w:iCs/>
                <w:sz w:val="22"/>
                <w:szCs w:val="22"/>
              </w:rPr>
            </w:pPr>
            <w:r w:rsidRPr="00685912">
              <w:rPr>
                <w:b/>
                <w:bCs/>
                <w:i/>
                <w:iCs/>
                <w:sz w:val="22"/>
                <w:szCs w:val="22"/>
              </w:rPr>
              <w:t>Total mensuel</w:t>
            </w:r>
          </w:p>
        </w:tc>
        <w:tc>
          <w:tcPr>
            <w:tcW w:w="0" w:type="auto"/>
            <w:tcBorders>
              <w:top w:val="single" w:sz="6" w:space="0" w:color="CCCCCC"/>
              <w:left w:val="single" w:sz="6" w:space="0" w:color="CCCCCC"/>
              <w:bottom w:val="double" w:sz="6" w:space="0" w:color="1E3A89"/>
              <w:right w:val="single" w:sz="6" w:space="0" w:color="CCCCCC"/>
            </w:tcBorders>
            <w:shd w:val="clear" w:color="auto" w:fill="EAEFF9"/>
            <w:tcMar>
              <w:top w:w="30" w:type="dxa"/>
              <w:left w:w="45" w:type="dxa"/>
              <w:bottom w:w="30" w:type="dxa"/>
              <w:right w:w="45" w:type="dxa"/>
            </w:tcMar>
            <w:vAlign w:val="center"/>
            <w:hideMark/>
          </w:tcPr>
          <w:p w14:paraId="63515E97" w14:textId="77777777" w:rsidR="00EC14F9" w:rsidRPr="00685912" w:rsidRDefault="00EC14F9" w:rsidP="00EC14F9">
            <w:pPr>
              <w:ind w:left="360"/>
              <w:rPr>
                <w:b/>
                <w:bCs/>
                <w:i/>
                <w:iCs/>
                <w:sz w:val="22"/>
                <w:szCs w:val="22"/>
              </w:rPr>
            </w:pPr>
            <w:r w:rsidRPr="00685912">
              <w:rPr>
                <w:b/>
                <w:bCs/>
                <w:i/>
                <w:iCs/>
                <w:sz w:val="22"/>
                <w:szCs w:val="22"/>
              </w:rPr>
              <w:t>Infrastructure globale (6 services AWS)</w:t>
            </w:r>
          </w:p>
        </w:tc>
        <w:tc>
          <w:tcPr>
            <w:tcW w:w="0" w:type="auto"/>
            <w:tcBorders>
              <w:top w:val="single" w:sz="6" w:space="0" w:color="CCCCCC"/>
              <w:left w:val="single" w:sz="6" w:space="0" w:color="CCCCCC"/>
              <w:bottom w:val="double" w:sz="6" w:space="0" w:color="1E3A89"/>
              <w:right w:val="single" w:sz="6" w:space="0" w:color="CCCCCC"/>
            </w:tcBorders>
            <w:shd w:val="clear" w:color="auto" w:fill="EAEFF9"/>
            <w:tcMar>
              <w:top w:w="30" w:type="dxa"/>
              <w:left w:w="45" w:type="dxa"/>
              <w:bottom w:w="30" w:type="dxa"/>
              <w:right w:w="45" w:type="dxa"/>
            </w:tcMar>
            <w:vAlign w:val="center"/>
            <w:hideMark/>
          </w:tcPr>
          <w:p w14:paraId="43A6B261" w14:textId="77777777" w:rsidR="00EC14F9" w:rsidRPr="00685912" w:rsidRDefault="00EC14F9" w:rsidP="00EC14F9">
            <w:pPr>
              <w:ind w:left="360"/>
              <w:rPr>
                <w:b/>
                <w:bCs/>
                <w:i/>
                <w:iCs/>
                <w:sz w:val="22"/>
                <w:szCs w:val="22"/>
              </w:rPr>
            </w:pPr>
            <w:r w:rsidRPr="00685912">
              <w:rPr>
                <w:b/>
                <w:bCs/>
                <w:i/>
                <w:iCs/>
                <w:sz w:val="22"/>
                <w:szCs w:val="22"/>
              </w:rPr>
              <w:t>11</w:t>
            </w:r>
            <w:r w:rsidRPr="00685912">
              <w:rPr>
                <w:rFonts w:ascii="Arial" w:hAnsi="Arial" w:cs="Arial"/>
                <w:b/>
                <w:bCs/>
                <w:i/>
                <w:iCs/>
                <w:sz w:val="22"/>
                <w:szCs w:val="22"/>
              </w:rPr>
              <w:t> </w:t>
            </w:r>
            <w:r w:rsidRPr="00685912">
              <w:rPr>
                <w:b/>
                <w:bCs/>
                <w:i/>
                <w:iCs/>
                <w:sz w:val="22"/>
                <w:szCs w:val="22"/>
              </w:rPr>
              <w:t xml:space="preserve">098 </w:t>
            </w:r>
            <w:r w:rsidRPr="00685912">
              <w:rPr>
                <w:rFonts w:ascii="Aptos" w:hAnsi="Aptos" w:cs="Aptos"/>
                <w:b/>
                <w:bCs/>
                <w:i/>
                <w:iCs/>
                <w:sz w:val="22"/>
                <w:szCs w:val="22"/>
              </w:rPr>
              <w:t>€</w:t>
            </w:r>
          </w:p>
        </w:tc>
        <w:tc>
          <w:tcPr>
            <w:tcW w:w="0" w:type="auto"/>
            <w:tcBorders>
              <w:top w:val="single" w:sz="6" w:space="0" w:color="CCCCCC"/>
              <w:left w:val="single" w:sz="6" w:space="0" w:color="CCCCCC"/>
              <w:bottom w:val="double" w:sz="6" w:space="0" w:color="1E3A89"/>
              <w:right w:val="single" w:sz="6" w:space="0" w:color="CCCCCC"/>
            </w:tcBorders>
            <w:shd w:val="clear" w:color="auto" w:fill="EAEFF9"/>
            <w:tcMar>
              <w:top w:w="30" w:type="dxa"/>
              <w:left w:w="45" w:type="dxa"/>
              <w:bottom w:w="30" w:type="dxa"/>
              <w:right w:w="45" w:type="dxa"/>
            </w:tcMar>
            <w:vAlign w:val="center"/>
            <w:hideMark/>
          </w:tcPr>
          <w:p w14:paraId="6D15FFD0" w14:textId="77777777" w:rsidR="00EC14F9" w:rsidRPr="00685912" w:rsidRDefault="00EC14F9" w:rsidP="00EC14F9">
            <w:pPr>
              <w:ind w:left="360"/>
              <w:rPr>
                <w:b/>
                <w:bCs/>
                <w:i/>
                <w:iCs/>
                <w:sz w:val="22"/>
                <w:szCs w:val="22"/>
              </w:rPr>
            </w:pPr>
            <w:r w:rsidRPr="00685912">
              <w:rPr>
                <w:b/>
                <w:bCs/>
                <w:i/>
                <w:iCs/>
                <w:sz w:val="22"/>
                <w:szCs w:val="22"/>
              </w:rPr>
              <w:t>100,0%</w:t>
            </w:r>
          </w:p>
        </w:tc>
        <w:tc>
          <w:tcPr>
            <w:tcW w:w="0" w:type="auto"/>
            <w:tcBorders>
              <w:top w:val="single" w:sz="6" w:space="0" w:color="CCCCCC"/>
              <w:left w:val="single" w:sz="6" w:space="0" w:color="CCCCCC"/>
              <w:bottom w:val="double" w:sz="6" w:space="0" w:color="1E3A89"/>
              <w:right w:val="single" w:sz="6" w:space="0" w:color="CCD6E5"/>
            </w:tcBorders>
            <w:shd w:val="clear" w:color="auto" w:fill="EAEFF9"/>
            <w:tcMar>
              <w:top w:w="30" w:type="dxa"/>
              <w:left w:w="45" w:type="dxa"/>
              <w:bottom w:w="30" w:type="dxa"/>
              <w:right w:w="45" w:type="dxa"/>
            </w:tcMar>
            <w:vAlign w:val="center"/>
            <w:hideMark/>
          </w:tcPr>
          <w:p w14:paraId="0003C0D5" w14:textId="77777777" w:rsidR="00EC14F9" w:rsidRPr="00685912" w:rsidRDefault="00EC14F9" w:rsidP="00EC14F9">
            <w:pPr>
              <w:ind w:left="360"/>
              <w:rPr>
                <w:b/>
                <w:bCs/>
                <w:i/>
                <w:iCs/>
                <w:sz w:val="22"/>
                <w:szCs w:val="22"/>
              </w:rPr>
            </w:pPr>
            <w:r w:rsidRPr="00685912">
              <w:rPr>
                <w:b/>
                <w:bCs/>
                <w:i/>
                <w:iCs/>
                <w:sz w:val="22"/>
                <w:szCs w:val="22"/>
              </w:rPr>
              <w:t>133</w:t>
            </w:r>
            <w:r w:rsidRPr="00685912">
              <w:rPr>
                <w:rFonts w:ascii="Arial" w:hAnsi="Arial" w:cs="Arial"/>
                <w:b/>
                <w:bCs/>
                <w:i/>
                <w:iCs/>
                <w:sz w:val="22"/>
                <w:szCs w:val="22"/>
              </w:rPr>
              <w:t> </w:t>
            </w:r>
            <w:r w:rsidRPr="00685912">
              <w:rPr>
                <w:b/>
                <w:bCs/>
                <w:i/>
                <w:iCs/>
                <w:sz w:val="22"/>
                <w:szCs w:val="22"/>
              </w:rPr>
              <w:t xml:space="preserve">176 </w:t>
            </w:r>
            <w:r w:rsidRPr="00685912">
              <w:rPr>
                <w:rFonts w:ascii="Aptos" w:hAnsi="Aptos" w:cs="Aptos"/>
                <w:b/>
                <w:bCs/>
                <w:i/>
                <w:iCs/>
                <w:sz w:val="22"/>
                <w:szCs w:val="22"/>
              </w:rPr>
              <w:t>€</w:t>
            </w:r>
          </w:p>
        </w:tc>
      </w:tr>
      <w:tr w:rsidR="00EC14F9" w:rsidRPr="00685912" w14:paraId="2B17723B" w14:textId="77777777" w:rsidTr="00EC14F9">
        <w:trPr>
          <w:trHeight w:val="18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E88FA" w14:textId="77777777" w:rsidR="00EC14F9" w:rsidRPr="00685912" w:rsidRDefault="00EC14F9" w:rsidP="00EC14F9">
            <w:pPr>
              <w:ind w:left="360"/>
              <w:rPr>
                <w:b/>
                <w:bCs/>
                <w:i/>
                <w:i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29976D" w14:textId="77777777" w:rsidR="00EC14F9" w:rsidRPr="00685912" w:rsidRDefault="00EC14F9" w:rsidP="00EC14F9">
            <w:pPr>
              <w:ind w:left="360"/>
              <w:rPr>
                <w:i/>
                <w:i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3266B" w14:textId="77777777" w:rsidR="00EC14F9" w:rsidRPr="00685912" w:rsidRDefault="00EC14F9" w:rsidP="00EC14F9">
            <w:pPr>
              <w:ind w:left="360"/>
              <w:rPr>
                <w:i/>
                <w:i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05DC2B" w14:textId="77777777" w:rsidR="00EC14F9" w:rsidRPr="00685912" w:rsidRDefault="00EC14F9" w:rsidP="00EC14F9">
            <w:pPr>
              <w:ind w:left="360"/>
              <w:rPr>
                <w:i/>
                <w:i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C3CDB" w14:textId="77777777" w:rsidR="00EC14F9" w:rsidRPr="00685912" w:rsidRDefault="00EC14F9" w:rsidP="00EC14F9">
            <w:pPr>
              <w:ind w:left="360"/>
              <w:rPr>
                <w:i/>
                <w:iCs/>
                <w:sz w:val="22"/>
                <w:szCs w:val="22"/>
              </w:rPr>
            </w:pPr>
          </w:p>
        </w:tc>
      </w:tr>
      <w:tr w:rsidR="00EC14F9" w:rsidRPr="00685912" w14:paraId="506AA29A" w14:textId="77777777" w:rsidTr="00EC14F9">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D85FEA7" w14:textId="77777777" w:rsidR="00EC14F9" w:rsidRPr="00685912" w:rsidRDefault="00EC14F9" w:rsidP="00EC14F9">
            <w:pPr>
              <w:ind w:left="360"/>
              <w:rPr>
                <w:i/>
                <w:iCs/>
                <w:sz w:val="22"/>
                <w:szCs w:val="22"/>
              </w:rPr>
            </w:pPr>
            <w:r w:rsidRPr="00685912">
              <w:rPr>
                <w:i/>
                <w:iCs/>
                <w:sz w:val="22"/>
                <w:szCs w:val="22"/>
              </w:rPr>
              <w:t>Note de facturation :</w:t>
            </w:r>
          </w:p>
        </w:tc>
        <w:tc>
          <w:tcPr>
            <w:tcW w:w="0" w:type="auto"/>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8870F81" w14:textId="77777777" w:rsidR="00EC14F9" w:rsidRPr="00685912" w:rsidRDefault="00EC14F9" w:rsidP="00EC14F9">
            <w:pPr>
              <w:ind w:left="360"/>
              <w:rPr>
                <w:i/>
                <w:iCs/>
                <w:sz w:val="22"/>
                <w:szCs w:val="22"/>
              </w:rPr>
            </w:pPr>
            <w:r w:rsidRPr="00685912">
              <w:rPr>
                <w:i/>
                <w:iCs/>
                <w:sz w:val="22"/>
                <w:szCs w:val="22"/>
              </w:rPr>
              <w:t>Estimations calculées sur une base mensuelle standard (730 heures/mois, tarification indicative AWS Europe). Coûts réels ajustés selon le volume effectif de données.</w:t>
            </w:r>
          </w:p>
        </w:tc>
      </w:tr>
    </w:tbl>
    <w:p w14:paraId="7957C418" w14:textId="77777777" w:rsidR="00EC14F9" w:rsidRDefault="00EC14F9" w:rsidP="00CD74C7">
      <w:pPr>
        <w:ind w:left="360"/>
        <w:rPr>
          <w:b/>
          <w:bCs/>
        </w:rPr>
      </w:pPr>
    </w:p>
    <w:p w14:paraId="21176C38" w14:textId="6DC9FF65" w:rsidR="00CD74C7" w:rsidRPr="00CD74C7" w:rsidRDefault="00CD74C7" w:rsidP="00F7002A">
      <w:pPr>
        <w:ind w:left="360" w:firstLine="348"/>
      </w:pPr>
      <w:r w:rsidRPr="00CD74C7">
        <w:rPr>
          <w:b/>
          <w:bCs/>
        </w:rPr>
        <w:t>3. Recommandations pour la surveillance et l'optimisation</w:t>
      </w:r>
    </w:p>
    <w:p w14:paraId="1A9F5B8A" w14:textId="77777777" w:rsidR="00CD74C7" w:rsidRPr="00CD74C7" w:rsidRDefault="00CD74C7" w:rsidP="00CD74C7">
      <w:pPr>
        <w:numPr>
          <w:ilvl w:val="0"/>
          <w:numId w:val="4"/>
        </w:numPr>
      </w:pPr>
      <w:r w:rsidRPr="00CD74C7">
        <w:rPr>
          <w:b/>
          <w:bCs/>
        </w:rPr>
        <w:t>Surveillance financière :</w:t>
      </w:r>
      <w:r w:rsidRPr="00CD74C7">
        <w:t xml:space="preserve"> Il est impératif d'activer </w:t>
      </w:r>
      <w:r w:rsidRPr="00CD74C7">
        <w:rPr>
          <w:b/>
          <w:bCs/>
        </w:rPr>
        <w:t>AWS Cost Explorer</w:t>
      </w:r>
      <w:r w:rsidRPr="00CD74C7">
        <w:t xml:space="preserve"> et de configurer des alertes strictes via </w:t>
      </w:r>
      <w:r w:rsidRPr="00CD74C7">
        <w:rPr>
          <w:b/>
          <w:bCs/>
        </w:rPr>
        <w:t>AWS Budgets</w:t>
      </w:r>
      <w:r w:rsidRPr="00CD74C7">
        <w:t xml:space="preserve"> pour être notifié instantanément si les dépenses de stockage ou de ressources de calcul (Redshift/EC2) dépassent le budget alloué.</w:t>
      </w:r>
    </w:p>
    <w:p w14:paraId="6E8783A3" w14:textId="77777777" w:rsidR="00CD74C7" w:rsidRPr="00CD74C7" w:rsidRDefault="00CD74C7" w:rsidP="00CD74C7">
      <w:pPr>
        <w:numPr>
          <w:ilvl w:val="0"/>
          <w:numId w:val="4"/>
        </w:numPr>
      </w:pPr>
      <w:r w:rsidRPr="00CD74C7">
        <w:rPr>
          <w:b/>
          <w:bCs/>
        </w:rPr>
        <w:t>Optimisation du stockage :</w:t>
      </w:r>
      <w:r w:rsidRPr="00CD74C7">
        <w:t xml:space="preserve"> Il est recommandé d'implémenter des règles de cycle de vie (</w:t>
      </w:r>
      <w:proofErr w:type="spellStart"/>
      <w:r w:rsidRPr="00CD74C7">
        <w:t>Lifecycle</w:t>
      </w:r>
      <w:proofErr w:type="spellEnd"/>
      <w:r w:rsidRPr="00CD74C7">
        <w:t xml:space="preserve"> </w:t>
      </w:r>
      <w:proofErr w:type="spellStart"/>
      <w:r w:rsidRPr="00CD74C7">
        <w:t>Policies</w:t>
      </w:r>
      <w:proofErr w:type="spellEnd"/>
      <w:r w:rsidRPr="00CD74C7">
        <w:t xml:space="preserve">) sur Amazon S3 pour archiver automatiquement les fichiers de logs SAN vieillissants et les données IoT froides vers des classes de stockage moins onéreuses, comme S3 Glacier Flexible </w:t>
      </w:r>
      <w:proofErr w:type="spellStart"/>
      <w:r w:rsidRPr="00CD74C7">
        <w:t>Retrieval</w:t>
      </w:r>
      <w:proofErr w:type="spellEnd"/>
      <w:r w:rsidRPr="00CD74C7">
        <w:t xml:space="preserve"> (</w:t>
      </w:r>
      <w:r w:rsidRPr="00CD74C7">
        <w:rPr>
          <w:b/>
          <w:bCs/>
        </w:rPr>
        <w:t xml:space="preserve">~0,004 € / </w:t>
      </w:r>
      <w:r w:rsidRPr="00CD74C7">
        <w:rPr>
          <w:b/>
          <w:bCs/>
        </w:rPr>
        <w:lastRenderedPageBreak/>
        <w:t>Go / mois</w:t>
      </w:r>
      <w:r w:rsidRPr="00CD74C7">
        <w:t>), ce qui permet de diviser le coût de stockage par six pour les données inactives.</w:t>
      </w:r>
    </w:p>
    <w:p w14:paraId="5FD2017E" w14:textId="77777777" w:rsidR="00CD74C7" w:rsidRPr="00CD74C7" w:rsidRDefault="00CD74C7" w:rsidP="00CD74C7">
      <w:pPr>
        <w:numPr>
          <w:ilvl w:val="0"/>
          <w:numId w:val="4"/>
        </w:numPr>
      </w:pPr>
      <w:r w:rsidRPr="00CD74C7">
        <w:rPr>
          <w:b/>
          <w:bCs/>
        </w:rPr>
        <w:t>Surveillance opérationnelle :</w:t>
      </w:r>
      <w:r w:rsidRPr="00CD74C7">
        <w:t xml:space="preserve"> </w:t>
      </w:r>
      <w:r w:rsidRPr="00CD74C7">
        <w:rPr>
          <w:b/>
          <w:bCs/>
        </w:rPr>
        <w:t xml:space="preserve">Amazon </w:t>
      </w:r>
      <w:proofErr w:type="spellStart"/>
      <w:r w:rsidRPr="00CD74C7">
        <w:rPr>
          <w:b/>
          <w:bCs/>
        </w:rPr>
        <w:t>CloudWatch</w:t>
      </w:r>
      <w:proofErr w:type="spellEnd"/>
      <w:r w:rsidRPr="00CD74C7">
        <w:t xml:space="preserve"> servira de tour de contrôle centrale pour surveiller en temps réel la latence des flux IoT sur </w:t>
      </w:r>
      <w:proofErr w:type="spellStart"/>
      <w:r w:rsidRPr="00CD74C7">
        <w:t>Redpanda</w:t>
      </w:r>
      <w:proofErr w:type="spellEnd"/>
      <w:r w:rsidRPr="00CD74C7">
        <w:t>, le taux de réussite de la réplication continue d'AWS DMS, et la charge CPU du cluster Redshift, garantissant une alerte immédiate en cas de goulet d'étranglement de l'infrastructure hybride.</w:t>
      </w:r>
    </w:p>
    <w:sectPr w:rsidR="00CD74C7" w:rsidRPr="00CD74C7" w:rsidSect="00A77671">
      <w:pgSz w:w="11906" w:h="16838"/>
      <w:pgMar w:top="993"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61406"/>
    <w:multiLevelType w:val="multilevel"/>
    <w:tmpl w:val="CC2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05F15"/>
    <w:multiLevelType w:val="hybridMultilevel"/>
    <w:tmpl w:val="8FD08022"/>
    <w:lvl w:ilvl="0" w:tplc="11EE2C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1694D6E"/>
    <w:multiLevelType w:val="multilevel"/>
    <w:tmpl w:val="6DCC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A219D"/>
    <w:multiLevelType w:val="hybridMultilevel"/>
    <w:tmpl w:val="86FE24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82443686">
    <w:abstractNumId w:val="3"/>
  </w:num>
  <w:num w:numId="2" w16cid:durableId="1439569337">
    <w:abstractNumId w:val="1"/>
  </w:num>
  <w:num w:numId="3" w16cid:durableId="1124351104">
    <w:abstractNumId w:val="2"/>
  </w:num>
  <w:num w:numId="4" w16cid:durableId="133610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7F1"/>
    <w:rsid w:val="00216362"/>
    <w:rsid w:val="00685912"/>
    <w:rsid w:val="00756564"/>
    <w:rsid w:val="007F4ADC"/>
    <w:rsid w:val="009B2067"/>
    <w:rsid w:val="009D27C6"/>
    <w:rsid w:val="00A77671"/>
    <w:rsid w:val="00B6341A"/>
    <w:rsid w:val="00CD74C7"/>
    <w:rsid w:val="00D07CD7"/>
    <w:rsid w:val="00D92F29"/>
    <w:rsid w:val="00E877D9"/>
    <w:rsid w:val="00EC14F9"/>
    <w:rsid w:val="00F637F1"/>
    <w:rsid w:val="00F700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9397"/>
  <w15:chartTrackingRefBased/>
  <w15:docId w15:val="{C8FD06B5-C228-4B15-8D07-DE48B96CC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63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63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637F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637F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637F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637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637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637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637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37F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637F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637F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637F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637F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637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637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637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637F1"/>
    <w:rPr>
      <w:rFonts w:eastAsiaTheme="majorEastAsia" w:cstheme="majorBidi"/>
      <w:color w:val="272727" w:themeColor="text1" w:themeTint="D8"/>
    </w:rPr>
  </w:style>
  <w:style w:type="paragraph" w:styleId="Titre">
    <w:name w:val="Title"/>
    <w:basedOn w:val="Normal"/>
    <w:next w:val="Normal"/>
    <w:link w:val="TitreCar"/>
    <w:uiPriority w:val="10"/>
    <w:qFormat/>
    <w:rsid w:val="00F63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37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637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637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37F1"/>
    <w:pPr>
      <w:spacing w:before="160"/>
      <w:jc w:val="center"/>
    </w:pPr>
    <w:rPr>
      <w:i/>
      <w:iCs/>
      <w:color w:val="404040" w:themeColor="text1" w:themeTint="BF"/>
    </w:rPr>
  </w:style>
  <w:style w:type="character" w:customStyle="1" w:styleId="CitationCar">
    <w:name w:val="Citation Car"/>
    <w:basedOn w:val="Policepardfaut"/>
    <w:link w:val="Citation"/>
    <w:uiPriority w:val="29"/>
    <w:rsid w:val="00F637F1"/>
    <w:rPr>
      <w:i/>
      <w:iCs/>
      <w:color w:val="404040" w:themeColor="text1" w:themeTint="BF"/>
    </w:rPr>
  </w:style>
  <w:style w:type="paragraph" w:styleId="Paragraphedeliste">
    <w:name w:val="List Paragraph"/>
    <w:basedOn w:val="Normal"/>
    <w:uiPriority w:val="34"/>
    <w:qFormat/>
    <w:rsid w:val="00F637F1"/>
    <w:pPr>
      <w:ind w:left="720"/>
      <w:contextualSpacing/>
    </w:pPr>
  </w:style>
  <w:style w:type="character" w:styleId="Accentuationintense">
    <w:name w:val="Intense Emphasis"/>
    <w:basedOn w:val="Policepardfaut"/>
    <w:uiPriority w:val="21"/>
    <w:qFormat/>
    <w:rsid w:val="00F637F1"/>
    <w:rPr>
      <w:i/>
      <w:iCs/>
      <w:color w:val="0F4761" w:themeColor="accent1" w:themeShade="BF"/>
    </w:rPr>
  </w:style>
  <w:style w:type="paragraph" w:styleId="Citationintense">
    <w:name w:val="Intense Quote"/>
    <w:basedOn w:val="Normal"/>
    <w:next w:val="Normal"/>
    <w:link w:val="CitationintenseCar"/>
    <w:uiPriority w:val="30"/>
    <w:qFormat/>
    <w:rsid w:val="00F63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637F1"/>
    <w:rPr>
      <w:i/>
      <w:iCs/>
      <w:color w:val="0F4761" w:themeColor="accent1" w:themeShade="BF"/>
    </w:rPr>
  </w:style>
  <w:style w:type="character" w:styleId="Rfrenceintense">
    <w:name w:val="Intense Reference"/>
    <w:basedOn w:val="Policepardfaut"/>
    <w:uiPriority w:val="32"/>
    <w:qFormat/>
    <w:rsid w:val="00F637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1</Pages>
  <Words>1379</Words>
  <Characters>7590</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mahmoud</dc:creator>
  <cp:keywords/>
  <dc:description/>
  <cp:lastModifiedBy>amin mahmoud</cp:lastModifiedBy>
  <cp:revision>8</cp:revision>
  <dcterms:created xsi:type="dcterms:W3CDTF">2026-10-06T10:02:00Z</dcterms:created>
  <dcterms:modified xsi:type="dcterms:W3CDTF">2026-10-06T16:44:00Z</dcterms:modified>
</cp:coreProperties>
</file>