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Kia</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with healthcare professionals on whether they would trust and act on the alert, what explanation they need, and what false-alarm rate they would accept (in progress).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Study with healthcare professionals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on the development test split of the 10,000-stay samples (one to three seeds). The sealed holdout has not been opened and nothing has been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0.81 (three seeds, SD 0.012) for OSTA and the CNN-Transformer; 0.80 output fusion; 0.78 logistic regression; 0.76 boosted trees</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AUPRC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0.03 to 0.04 at 0.65 % prevalence (chance 0.0065)</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Sensitivity at 0.5 false alarms per patient-day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one sepsis event in two</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Median warning before onset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hours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best model 0.18 (95 % CI 0.08 to 0.27); OSTA 0.12</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utility on MIMIC-IV is modest but clearly positive on a database built from raw tables with every hour scored causally, whereas the best competition entry fell below zero as soon as it left its training hospitals. On eICU the development-split AUROC is 0.67 to 0.69 and the utility is not yet distinguishable from zero; eICU has the weaker antibiotic-only label and, before the audit, the poorest coverage, and it is the focus of the full-cohort, leave-hospital-out and label-harmonisation work planned below. The candidate's replication of the winner's own method on both databases is in progress.</w:t>
      </w:r>
    </w:p>
    <w:p>
      <w:pPr>
        <w:pStyle w:val="Heading2"/>
        <w:spacing w:after="120" w:before="240"/>
      </w:pPr>
      <w:r>
        <w:rPr>
          <w:rFonts w:ascii="Calibri" w:cs="Calibri" w:eastAsia="Calibri" w:hAnsi="Calibri"/>
        </w:rPr>
        <w:t xml:space="preserve">4.5 Overfitting and the architecture comparison</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AUROCs of OSTA, the CNN-Transformer, output fusion and the gated variants differ by less than the seed-to-seed noise, and OSTA with and without attention gates gives identical results because the chosen checkpoint is the first epoch either way. The conclusion is that on this sample size nothing separates the architectures, and that the next lever is data: the full cohort (about nine times more sepsis cases), self-supervised pretraining on unlabelled stays, and a training loss chosen by utility.</w:t>
      </w:r>
    </w:p>
    <w:p>
      <w:pPr>
        <w:spacing w:after="120" w:before="0" w:line="276"/>
        <w:jc w:val="left"/>
      </w:pPr>
      <w:r>
        <w:rPr>
          <w:rFonts w:ascii="Calibri" w:cs="Calibri" w:eastAsia="Calibri" w:hAnsi="Calibri"/>
          <w:b w:val="false"/>
          <w:bCs w:val="false"/>
          <w:i w:val="false"/>
          <w:iCs w:val="false"/>
          <w:color w:val="000000"/>
          <w:sz w:val="22"/>
          <w:szCs w:val="22"/>
        </w:rPr>
        <w:t xml:space="preserve">The prespecified comparison of sixteen models, three losses and the organ-structure ablation, with self-supervised pretraining and the winner's method, is running at the time of writing; its shortlist, chosen by the validation rule, goes to the full-cohort run.</w:t>
      </w:r>
    </w:p>
    <w:p>
      <w:pPr>
        <w:pStyle w:val="Heading2"/>
        <w:spacing w:after="120" w:before="240"/>
      </w:pPr>
      <w:r>
        <w:rPr>
          <w:rFonts w:ascii="Calibri" w:cs="Calibri" w:eastAsia="Calibri" w:hAnsi="Calibri"/>
        </w:rPr>
        <w:t xml:space="preserve">4.6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4.7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with healthcare professionals and its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a causally scored warning keeps positive utility on MIMIC-IV where the best published competition entry collapsed on an unseen hospital. Three manuscripts were submitted. The next period scales the evaluation to the full cohort, opens the holdout once, brings in the clinicians who would receive the alarm, and prepares the prospective test on hospital patients that the whole programme points towards.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2026-10-19T06:23:05.490Z</dcterms:created>
  <dcterms:modified xsi:type="dcterms:W3CDTF">2026-10-19T06:23:05.490Z</dcterms:modified>
</cp:coreProperties>
</file>

<file path=docProps/custom.xml><?xml version="1.0" encoding="utf-8"?>
<Properties xmlns="http://schemas.openxmlformats.org/officeDocument/2006/custom-properties" xmlns:vt="http://schemas.openxmlformats.org/officeDocument/2006/docPropsVTypes"/>
</file>