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(hospital systems A and B; a third, C, was hidden)</w:t>
            </w:r>
          </w:p>
        </w:tc>
        <w:tc>
          <w:tcPr/>
          <w:p>
            <w:pPr>
              <w:pStyle w:val="Compact"/>
              <w:jc w:val="left"/>
            </w:pPr>
            <w:r>
              <w:t xml:space="preserve">Earlier work and the causal OSTA baseline (Section 14); legacy external validation (Notebook B). Hospital system A is Beth Israel Deaconess, the MIMIC-IV hospital (Reyna et al. 2020), so the challenge data are not an external test for a MIMIC-IV-trained model and are not used as one</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numPr>
          <w:ilvl w:val="1"/>
          <w:numId w:val="1038"/>
        </w:numPr>
        <w:pStyle w:val="Compact"/>
      </w:pPr>
      <w:r>
        <w:t xml:space="preserve">paired patient-level bootstrap of the utility difference between arms, computed from the saved per-stay utilities (</w:t>
      </w:r>
      <w:r>
        <w:rPr>
          <w:rStyle w:val="VerbatimChar"/>
        </w:rPr>
        <w:t xml:space="preserve">utility_per_stay.parquet</w:t>
      </w:r>
      <w:r>
        <w:t xml:space="preserve">). Until it is run, no arm is reported as better than another on utility; overlapping intervals do not settle the question either way.</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on MIMIC-IV alone. Plain cross-entropy ranked first for OSTA, utility-weighted for SSL-CNN→OSTA, and temporal label smoothing last for both. See the cross-database reading below</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(same run, completed 22 Oct 2026; development split; 888 test stays, 45 events; preliminary; digest in</w:t>
      </w:r>
      <w:r>
        <w:t xml:space="preserve"> </w:t>
      </w:r>
      <w:r>
        <w:rPr>
          <w:rStyle w:val="VerbatimChar"/>
        </w:rPr>
        <w:t xml:space="preserve">dev/results/run_4cd752bef2ccbd42_summary.md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rank: flat OSTA 2.5, OSTA 15.5; validation utility flat OSTA 0.039, OSTA 0.010)</w:t>
            </w:r>
          </w:p>
        </w:tc>
      </w:tr>
      <w:tr>
        <w:tc>
          <w:tcPr/>
          <w:p>
            <w:pPr>
              <w:pStyle w:val="Compact"/>
              <w:jc w:val="left"/>
            </w:pPr>
            <w:r>
              <w:t xml:space="preserve">Loss</w:t>
            </w:r>
          </w:p>
        </w:tc>
        <w:tc>
          <w:tcPr/>
          <w:p>
            <w:pPr>
              <w:pStyle w:val="Compact"/>
              <w:jc w:val="left"/>
            </w:pPr>
            <w:r>
              <w:t xml:space="preserve">Plain cross-entropy ranked first for both OSTA and SSL-CNN→OSTA; temporal label smoothing second; utility-weighted last</w:t>
            </w:r>
          </w:p>
        </w:tc>
      </w:tr>
      <w:tr>
        <w:tc>
          <w:tcPr/>
          <w:p>
            <w:pPr>
              <w:pStyle w:val="Compact"/>
              <w:jc w:val="left"/>
            </w:pPr>
            <w:r>
              <w:t xml:space="preserve">Shortlist</w:t>
            </w:r>
          </w:p>
        </w:tc>
        <w:tc>
          <w:tcPr/>
          <w:p>
            <w:pPr>
              <w:pStyle w:val="Compact"/>
              <w:jc w:val="left"/>
            </w:pPr>
            <w:r>
              <w:t xml:space="preserve">GRU-D, flat OSTA and SSL-CNN→flat (pooled encoder)</w:t>
            </w:r>
          </w:p>
        </w:tc>
      </w:tr>
      <w:tr>
        <w:tc>
          <w:tcPr/>
          <w:p>
            <w:pPr>
              <w:pStyle w:val="Compact"/>
              <w:jc w:val="left"/>
            </w:pPr>
            <w:r>
              <w:t xml:space="preserve">Test results (normalised utility)</w:t>
            </w:r>
          </w:p>
        </w:tc>
        <w:tc>
          <w:tcPr/>
          <w:p>
            <w:pPr>
              <w:pStyle w:val="Compact"/>
              <w:jc w:val="left"/>
            </w:pPr>
            <w:r>
              <w:t xml:space="preserve">Point estimates −0.001 to 0.075 (CNN–Transformer 0.075, GRU-D 0.066, TCN 0.043); upper 95 % limits up to 0.16; lower limits to be read from</w:t>
            </w:r>
            <w:r>
              <w:t xml:space="preserve"> </w:t>
            </w:r>
            <w:r>
              <w:rPr>
                <w:rStyle w:val="VerbatimChar"/>
              </w:rPr>
              <w:t xml:space="preserve">team_summary_performance.csv</w:t>
            </w:r>
            <w:r>
              <w:t xml:space="preserve"> </w:t>
            </w:r>
            <w:r>
              <w:t xml:space="preserve">(the notebook display truncated the column). At the false-alarm budget OSTA, OSTA@bce and OSTA@tls raised no alarm. Hourly AUROC 0.53–0.68</w:t>
            </w:r>
          </w:p>
        </w:tc>
      </w:tr>
      <w:tr>
        <w:tc>
          <w:tcPr/>
          <w:p>
            <w:pPr>
              <w:pStyle w:val="Compact"/>
              <w:jc w:val="left"/>
            </w:pPr>
            <w:r>
              <w:t xml:space="preserve">Transfer</w:t>
            </w:r>
          </w:p>
        </w:tc>
        <w:tc>
          <w:tcPr/>
          <w:p>
            <w:pPr>
              <w:pStyle w:val="Compact"/>
              <w:jc w:val="left"/>
            </w:pPr>
            <w:r>
              <w:t xml:space="preserve">MIMIC-IV models on eICU patients −0.03 to +0.04 (logistic −0.15), the same band as eICU’s own models; eICU models on MIMIC-IV patients −0.00 to +0.03, most OSTA variants silent</w:t>
            </w:r>
          </w:p>
        </w:tc>
      </w:tr>
      <w:tr>
        <w:tc>
          <w:tcPr/>
          <w:p>
            <w:pPr>
              <w:pStyle w:val="Compact"/>
              <w:jc w:val="left"/>
            </w:pPr>
            <w:r>
              <w:t xml:space="preserve">D1 pair</w:t>
            </w:r>
          </w:p>
        </w:tc>
        <w:tc>
          <w:tcPr/>
          <w:p>
            <w:pPr>
              <w:pStyle w:val="Compact"/>
              <w:jc w:val="left"/>
            </w:pPr>
            <w:r>
              <w:t xml:space="preserve">Neither</w:t>
            </w:r>
            <w:r>
              <w:t xml:space="preserve"> </w:t>
            </w:r>
            <w:r>
              <w:rPr>
                <w:rStyle w:val="VerbatimChar"/>
              </w:rPr>
              <w:t xml:space="preserve">ssl_cnn_osta</w:t>
            </w:r>
            <w:r>
              <w:t xml:space="preserve"> </w:t>
            </w:r>
            <w:r>
              <w:t xml:space="preserve">nor</w:t>
            </w:r>
            <w:r>
              <w:t xml:space="preserve"> </w:t>
            </w:r>
            <w:r>
              <w:rPr>
                <w:rStyle w:val="VerbatimChar"/>
              </w:rPr>
              <w:t xml:space="preserve">ssl_cnn_flat</w:t>
            </w:r>
            <w:r>
              <w:t xml:space="preserve"> </w:t>
            </w:r>
            <w:r>
              <w:t xml:space="preserve">was chosen by the rule on eICU; D1 stands as written</w:t>
            </w:r>
          </w:p>
        </w:tc>
      </w:tr>
    </w:tbl>
    <w:p>
      <w:pPr>
        <w:pStyle w:val="BodyText"/>
      </w:pPr>
      <w:r>
        <w:rPr>
          <w:bCs/>
          <w:b/>
        </w:rPr>
        <w:t xml:space="preserve">Cross-database reading of the rules (for the stage-2 freeze):</w:t>
      </w:r>
    </w:p>
    <w:p>
      <w:pPr>
        <w:numPr>
          <w:ilvl w:val="0"/>
          <w:numId w:val="1040"/>
        </w:numPr>
        <w:pStyle w:val="Compact"/>
      </w:pPr>
      <w:r>
        <w:t xml:space="preserve">Organ structure: not supported on either database. Flat OSTA goes forward; OSTA stays only as a fixed baseline.</w:t>
      </w:r>
    </w:p>
    <w:p>
      <w:pPr>
        <w:numPr>
          <w:ilvl w:val="0"/>
          <w:numId w:val="1040"/>
        </w:numPr>
        <w:pStyle w:val="Compact"/>
      </w:pPr>
      <w:r>
        <w:t xml:space="preserve">Loss: plain cross-entropy ranked first in three of the four comparisons and the utility-weighted loss in one; temporal label smoothing never ranked first. Reading the rule</w:t>
      </w:r>
      <w:r>
        <w:t xml:space="preserve"> </w:t>
      </w:r>
      <w:r>
        <w:t xml:space="preserve">“</w:t>
      </w:r>
      <w:r>
        <w:t xml:space="preserve">across both databases</w:t>
      </w:r>
      <w:r>
        <w:t xml:space="preserve">”</w:t>
      </w:r>
      <w:r>
        <w:t xml:space="preserve"> </w:t>
      </w:r>
      <w:r>
        <w:t xml:space="preserve">by rank average, the stage-2 loss is plain cross-entropy.</w:t>
      </w:r>
      <w:r>
        <w:t xml:space="preserve"> </w:t>
      </w:r>
      <w:r>
        <w:rPr>
          <w:bCs/>
          <w:b/>
        </w:rPr>
        <w:t xml:space="preserve">TO FREEZE:</w:t>
      </w:r>
      <w:r>
        <w:t xml:space="preserve"> </w:t>
      </w:r>
      <w:r>
        <w:t xml:space="preserve">the candidate confirms this reading (or records a deviation) before the full-cohort run.</w:t>
      </w:r>
    </w:p>
    <w:p>
      <w:pPr>
        <w:numPr>
          <w:ilvl w:val="0"/>
          <w:numId w:val="1040"/>
        </w:numPr>
        <w:pStyle w:val="Compact"/>
      </w:pPr>
      <w:r>
        <w:t xml:space="preserve">Shortlist union: GRU-D, TCN, flat OSTA, SSL-CNN→flat (pooled).</w:t>
      </w:r>
    </w:p>
    <w:bookmarkEnd w:id="29"/>
    <w:bookmarkStart w:id="33" w:name="X107348d32c6f3016a98df991ad75d6f5e69b687"/>
    <w:p>
      <w:pPr>
        <w:pStyle w:val="Heading2"/>
      </w:pPr>
      <w:r>
        <w:t xml:space="preserve">10b. Stage 1b: training recipe and alarm policy, decided on validation only (added 24 Oct 2026)</w:t>
      </w:r>
    </w:p>
    <w:p>
      <w:pPr>
        <w:pStyle w:val="FirstParagraph"/>
      </w:pPr>
      <w:r>
        <w:rPr>
          <w:bCs/>
          <w:b/>
        </w:rPr>
        <w:t xml:space="preserve">Status and disclosure.</w:t>
      </w:r>
      <w:r>
        <w:t xml:space="preserve"> </w:t>
      </w:r>
      <w:r>
        <w:t xml:space="preserve">This section was written after the stage-1 development results of run</w:t>
      </w:r>
      <w:r>
        <w:t xml:space="preserve"> </w:t>
      </w:r>
      <w:r>
        <w:rPr>
          <w:rStyle w:val="VerbatimChar"/>
        </w:rPr>
        <w:t xml:space="preserve">4cd752bef2ccbd42</w:t>
      </w:r>
      <w:r>
        <w:t xml:space="preserve"> </w:t>
      </w:r>
      <w:r>
        <w:t xml:space="preserve">had been seen (Section 10) and before any stage-1b code ran. It is therefore not blind to stage 1, and it says so. It is blind to the test splits: no test-split number is computed, displayed or read during stage 1b, and the sealed holdout stays sealed. Everything below is chosen on the training and validation splits of the two prespecified 10,000-stay samples, by rules fixed here.</w:t>
      </w:r>
    </w:p>
    <w:p>
      <w:pPr>
        <w:pStyle w:val="BodyText"/>
      </w:pPr>
      <w:r>
        <w:rPr>
          <w:bCs/>
          <w:b/>
        </w:rPr>
        <w:t xml:space="preserve">Why.</w:t>
      </w:r>
      <w:r>
        <w:t xml:space="preserve"> </w:t>
      </w:r>
      <w:r>
        <w:t xml:space="preserve">Stage 1 left three things undecided that stage 2 needs: (1) the project’s own architecture, after the organ grouping was not supported on either database; (2) the alarm threshold, after an absolute probability threshold set on the calibration split left OSTA, OSTA@bce and OSTA@tls silent on the eICU test split (no alarm within the false-alarm budget); (3) the alarm policy, which the consultants’ study will tune and which must exist before their answers can be used.</w:t>
      </w:r>
    </w:p>
    <w:bookmarkStart w:id="30" w:name="Xa2a3df0fb6d41ee25c9705cf39e9693433a214a"/>
    <w:p>
      <w:pPr>
        <w:pStyle w:val="Heading3"/>
      </w:pPr>
      <w:r>
        <w:t xml:space="preserve">10b.1 What is tried (the complete list; nothing is added during the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Options compared</w:t>
            </w:r>
          </w:p>
        </w:tc>
        <w:tc>
          <w:tcPr/>
          <w:p>
            <w:pPr>
              <w:pStyle w:val="Compact"/>
              <w:jc w:val="left"/>
            </w:pPr>
            <w:r>
              <w:t xml:space="preserve">Fixed settings</w:t>
            </w:r>
          </w:p>
        </w:tc>
      </w:tr>
      <w:tr>
        <w:tc>
          <w:tcPr/>
          <w:p>
            <w:pPr>
              <w:pStyle w:val="Compact"/>
              <w:jc w:val="left"/>
            </w:pPr>
            <w:r>
              <w:t xml:space="preserve">A. Backbone</w:t>
            </w:r>
          </w:p>
        </w:tc>
        <w:tc>
          <w:tcPr/>
          <w:p>
            <w:pPr>
              <w:pStyle w:val="Compact"/>
              <w:jc w:val="left"/>
            </w:pPr>
            <w:r>
              <w:rPr>
                <w:rStyle w:val="VerbatimChar"/>
              </w:rPr>
              <w:t xml:space="preserve">flat_osta</w:t>
            </w:r>
            <w:r>
              <w:t xml:space="preserve"> </w:t>
            </w:r>
            <w:r>
              <w:t xml:space="preserve">(reference) vs</w:t>
            </w:r>
            <w:r>
              <w:t xml:space="preserve"> </w:t>
            </w:r>
            <w:r>
              <w:rPr>
                <w:rStyle w:val="VerbatimChar"/>
              </w:rPr>
              <w:t xml:space="preserve">flat_osta_heads</w:t>
            </w:r>
            <w:r>
              <w:t xml:space="preserve">: the same flat backbone with fourteen organ heads at the output</w:t>
            </w:r>
          </w:p>
        </w:tc>
        <w:tc>
          <w:tcPr/>
          <w:p>
            <w:pPr>
              <w:pStyle w:val="Compact"/>
              <w:jc w:val="left"/>
            </w:pPr>
            <w:r>
              <w:t xml:space="preserve">d_global 128, 4 heads, 2 + 2 layers, dropout 0.2, batch 32, AdamW wd 1e-4, 30 epochs, early stopping on validation AUPRC (patience 5), seed 42, as in V11</w:t>
            </w:r>
          </w:p>
        </w:tc>
      </w:tr>
      <w:tr>
        <w:tc>
          <w:tcPr/>
          <w:p>
            <w:pPr>
              <w:pStyle w:val="Compact"/>
              <w:jc w:val="left"/>
            </w:pPr>
            <w:r>
              <w:t xml:space="preserve">B. Organ heads</w:t>
            </w:r>
          </w:p>
        </w:tc>
        <w:tc>
          <w:tcPr/>
          <w:p>
            <w:pPr>
              <w:pStyle w:val="Compact"/>
              <w:jc w:val="left"/>
            </w:pPr>
            <w:r>
              <w:t xml:space="preserve">Seven heads, each a linear readout on the shared stay representation, trained jointly with the sepsis head on its own label-free target: for each of the six SOFA organs (respiration, coagulation, liver, cardiovascular, central nervous system, renal), whether that organ’s SOFA component rises within 6, 12 and 24 h; and one</w:t>
            </w:r>
            <w:r>
              <w:t xml:space="preserve"> </w:t>
            </w:r>
            <w:r>
              <w:t xml:space="preserve">“</w:t>
            </w:r>
            <w:r>
              <w:t xml:space="preserve">any organ</w:t>
            </w:r>
            <w:r>
              <w:t xml:space="preserve">”</w:t>
            </w:r>
            <w:r>
              <w:t xml:space="preserve"> </w:t>
            </w:r>
            <w:r>
              <w:t xml:space="preserve">head for a rise in any component. These are the per-component form of the</w:t>
            </w:r>
            <w:r>
              <w:t xml:space="preserve"> </w:t>
            </w:r>
            <w:r>
              <w:rPr>
                <w:rStyle w:val="VerbatimChar"/>
              </w:rPr>
              <w:t xml:space="preserve">worsen</w:t>
            </w:r>
            <w:r>
              <w:t xml:space="preserve"> </w:t>
            </w:r>
            <w:r>
              <w:t xml:space="preserve">target already built for self-supervised pretraining in</w:t>
            </w:r>
            <w:r>
              <w:t xml:space="preserve"> </w:t>
            </w:r>
            <w:r>
              <w:rPr>
                <w:rStyle w:val="VerbatimChar"/>
              </w:rPr>
              <w:t xml:space="preserve">ssl_targets</w:t>
            </w:r>
            <w:r>
              <w:t xml:space="preserve"> </w:t>
            </w:r>
            <w:r>
              <w:t xml:space="preserve">(which currently reduces over components with</w:t>
            </w:r>
            <w:r>
              <w:t xml:space="preserve"> </w:t>
            </w:r>
            <w:r>
              <w:rPr>
                <w:rStyle w:val="VerbatimChar"/>
              </w:rPr>
              <w:t xml:space="preserve">.any(-1)</w:t>
            </w:r>
            <w:r>
              <w:t xml:space="preserve">; stage 1b keeps the per-component values). The head losses are combined with the sepsis loss by uncertainty weighting (Kendall, Gal and Cipolla, CVPR 2018): one learned log-variance per task, so no auxiliary weight is chosen by hand; the learned weights are reported, and a weight driven toward zero is itself evidence that the organ targets do not help the sepsis task. Heads never feed back into the sepsis risk</w:t>
            </w:r>
          </w:p>
        </w:tc>
        <w:tc>
          <w:tcPr/>
          <w:p>
            <w:pPr>
              <w:pStyle w:val="Compact"/>
              <w:jc w:val="left"/>
            </w:pPr>
            <w:r>
              <w:t xml:space="preserve">The eight non-SOFA predictor groups of the V11 mapping get no head: they have no organ-failure target, and a head without its own target would be decoration</w:t>
            </w:r>
          </w:p>
        </w:tc>
      </w:tr>
      <w:tr>
        <w:tc>
          <w:tcPr/>
          <w:p>
            <w:pPr>
              <w:pStyle w:val="Compact"/>
              <w:jc w:val="left"/>
            </w:pPr>
            <w:r>
              <w:t xml:space="preserve">C. Input dropout</w:t>
            </w:r>
          </w:p>
        </w:tc>
        <w:tc>
          <w:tcPr/>
          <w:p>
            <w:pPr>
              <w:pStyle w:val="Compact"/>
              <w:jc w:val="left"/>
            </w:pPr>
            <w:r>
              <w:t xml:space="preserve">0 (reference), 0.1, 0.2: each predictor’s value, measured flag and age channels are hidden together with that probability during training only</w:t>
            </w:r>
          </w:p>
        </w:tc>
        <w:tc>
          <w:tcPr/>
          <w:p>
            <w:pPr>
              <w:pStyle w:val="Compact"/>
              <w:jc w:val="left"/>
            </w:pPr>
            <w:r>
              <w:t xml:space="preserve">Applied to both backbones; 2 × 3 = 6 trainings per database</w:t>
            </w:r>
          </w:p>
        </w:tc>
      </w:tr>
      <w:tr>
        <w:tc>
          <w:tcPr/>
          <w:p>
            <w:pPr>
              <w:pStyle w:val="Compact"/>
              <w:jc w:val="left"/>
            </w:pPr>
            <w:r>
              <w:t xml:space="preserve">D. Loss</w:t>
            </w:r>
          </w:p>
        </w:tc>
        <w:tc>
          <w:tcPr/>
          <w:p>
            <w:pPr>
              <w:pStyle w:val="Compact"/>
              <w:jc w:val="left"/>
            </w:pPr>
            <w:r>
              <w:t xml:space="preserve">Plain cross-entropy for every stage-1b training (Section 10 rule, three of four comparisons). No loss comparison in stage 1b</w:t>
            </w:r>
          </w:p>
        </w:tc>
        <w:tc>
          <w:tcPr/>
          <w:p>
            <w:pPr>
              <w:pStyle w:val="Compact"/>
              <w:jc w:val="left"/>
            </w:pPr>
            <w:r>
              <w:t xml:space="preserve">—</w:t>
            </w:r>
          </w:p>
        </w:tc>
      </w:tr>
      <w:tr>
        <w:tc>
          <w:tcPr/>
          <w:p>
            <w:pPr>
              <w:pStyle w:val="Compact"/>
              <w:jc w:val="left"/>
            </w:pPr>
            <w:r>
              <w:t xml:space="preserve">E. Operating point</w:t>
            </w:r>
          </w:p>
        </w:tc>
        <w:tc>
          <w:tcPr/>
          <w:p>
            <w:pPr>
              <w:pStyle w:val="Compact"/>
              <w:jc w:val="left"/>
            </w:pPr>
            <w:r>
              <w:t xml:space="preserve">Absolute threshold (as implemented in V11) vs</w:t>
            </w:r>
            <w:r>
              <w:t xml:space="preserve"> </w:t>
            </w:r>
            <w:r>
              <w:rPr>
                <w:bCs/>
                <w:b/>
              </w:rPr>
              <w:t xml:space="preserve">quantile operating point</w:t>
            </w:r>
            <w:r>
              <w:t xml:space="preserve">: each threshold (budget and utility) is found on the calibration split exactly as before, then carried to any scored population as an alarm rate, not a probability: the fraction of calibration hours at or above the threshold is recorded, and on the scored population the alarm fires on the same fraction of its own hours (the same quantile of its own score distribution). The quantile is label-free, so it can be set on a new hospital’s unlabelled hours. It needs at least 10,000 scored hours; below that the absolute threshold is used and the fallback is recorded</w:t>
            </w:r>
          </w:p>
        </w:tc>
        <w:tc>
          <w:tcPr/>
          <w:p>
            <w:pPr>
              <w:pStyle w:val="Compact"/>
              <w:jc w:val="left"/>
            </w:pPr>
            <w:r>
              <w:t xml:space="preserve">Budget 0.5 false alarms per patient-day on the calibration split, unchanged. Applied to internal rows and to transfer rows</w:t>
            </w:r>
          </w:p>
        </w:tc>
      </w:tr>
      <w:tr>
        <w:tc>
          <w:tcPr/>
          <w:p>
            <w:pPr>
              <w:pStyle w:val="Compact"/>
              <w:jc w:val="left"/>
            </w:pPr>
            <w:r>
              <w:t xml:space="preserve">F. Alarm policy</w:t>
            </w:r>
          </w:p>
        </w:tc>
        <w:tc>
          <w:tcPr/>
          <w:p>
            <w:pPr>
              <w:pStyle w:val="Compact"/>
              <w:jc w:val="left"/>
            </w:pPr>
            <w:r>
              <w:t xml:space="preserve">Persistence 1 h (as now) vs 2 h (risk at or above the operating point in the current and the previous hour); cooldown 6 h (as now, kept); fresh-information hours: alarms allowed in every hour (as now) vs only in hours in which at least one predictor was newly charted (age channel under 1 h, the same</w:t>
            </w:r>
            <w:r>
              <w:t xml:space="preserve"> </w:t>
            </w:r>
            <w:r>
              <w:t xml:space="preserve">“</w:t>
            </w:r>
            <w:r>
              <w:t xml:space="preserve">fresh</w:t>
            </w:r>
            <w:r>
              <w:t xml:space="preserve">”</w:t>
            </w:r>
            <w:r>
              <w:t xml:space="preserve"> </w:t>
            </w:r>
            <w:r>
              <w:t xml:space="preserve">rule</w:t>
            </w:r>
            <w:r>
              <w:t xml:space="preserve"> </w:t>
            </w:r>
            <w:r>
              <w:rPr>
                <w:rStyle w:val="VerbatimChar"/>
              </w:rPr>
              <w:t xml:space="preserve">ssl_targets</w:t>
            </w:r>
            <w:r>
              <w:t xml:space="preserve"> </w:t>
            </w:r>
            <w:r>
              <w:t xml:space="preserve">uses)</w:t>
            </w:r>
          </w:p>
        </w:tc>
        <w:tc>
          <w:tcPr/>
          <w:p>
            <w:pPr>
              <w:pStyle w:val="Compact"/>
              <w:jc w:val="left"/>
            </w:pPr>
            <w:r>
              <w:t xml:space="preserve">Evaluated on validation only; false alarms per patient-day always counted over every hour of the day</w:t>
            </w:r>
          </w:p>
        </w:tc>
      </w:tr>
    </w:tbl>
    <w:p>
      <w:pPr>
        <w:pStyle w:val="BodyText"/>
      </w:pPr>
      <w:r>
        <w:t xml:space="preserve">Items E and F are evaluation settings applied to saved predictions; they need no retraining. The PhysioNet utility is always reported on the plain hourly predictions (no persistence, no cooldown, no fresh-hour rule) so that it stays comparable with the published score; the policy is judged on the clinical metrics (event sensitivity, false alarms per patient-day, warning time, antibiotic lead).</w:t>
      </w:r>
    </w:p>
    <w:bookmarkEnd w:id="30"/>
    <w:bookmarkStart w:id="31" w:name="b.2-decision-rules-fixed-now"/>
    <w:p>
      <w:pPr>
        <w:pStyle w:val="Heading3"/>
      </w:pPr>
      <w:r>
        <w:t xml:space="preserve">10b.2 Decision rules (fixed now)</w:t>
      </w:r>
    </w:p>
    <w:p>
      <w:pPr>
        <w:numPr>
          <w:ilvl w:val="0"/>
          <w:numId w:val="1041"/>
        </w:numPr>
        <w:pStyle w:val="Compact"/>
      </w:pPr>
      <w:r>
        <w:rPr>
          <w:bCs/>
          <w:b/>
        </w:rPr>
        <w:t xml:space="preserve">Backbone and input dropout.</w:t>
      </w:r>
      <w:r>
        <w:t xml:space="preserve"> </w:t>
      </w:r>
      <w:r>
        <w:t xml:space="preserve">Rank the six trainings per database by the Section 10 rule (rank-average of validation utility and validation AUPRC). The setting with the best average rank across both databases goes to stage 2 as</w:t>
      </w:r>
      <w:r>
        <w:t xml:space="preserve"> </w:t>
      </w:r>
      <w:r>
        <w:t xml:space="preserve">“</w:t>
      </w:r>
      <w:r>
        <w:t xml:space="preserve">the project’s model</w:t>
      </w:r>
      <w:r>
        <w:t xml:space="preserve">”</w:t>
      </w:r>
      <w:r>
        <w:t xml:space="preserve">.</w:t>
      </w:r>
      <w:r>
        <w:t xml:space="preserve"> </w:t>
      </w:r>
      <w:r>
        <w:rPr>
          <w:rStyle w:val="VerbatimChar"/>
        </w:rPr>
        <w:t xml:space="preserve">flat_osta_heads</w:t>
      </w:r>
      <w:r>
        <w:t xml:space="preserve"> </w:t>
      </w:r>
      <w:r>
        <w:t xml:space="preserve">is kept only if its best configuration is not ranked below the best</w:t>
      </w:r>
      <w:r>
        <w:t xml:space="preserve"> </w:t>
      </w:r>
      <w:r>
        <w:rPr>
          <w:rStyle w:val="VerbatimChar"/>
        </w:rPr>
        <w:t xml:space="preserve">flat_osta</w:t>
      </w:r>
      <w:r>
        <w:t xml:space="preserve"> </w:t>
      </w:r>
      <w:r>
        <w:t xml:space="preserve">configuration on the cross-database average; otherwise the heads are reported as not supported and the stage-2 model is</w:t>
      </w:r>
      <w:r>
        <w:t xml:space="preserve"> </w:t>
      </w:r>
      <w:r>
        <w:rPr>
          <w:rStyle w:val="VerbatimChar"/>
        </w:rPr>
        <w:t xml:space="preserve">flat_osta</w:t>
      </w:r>
      <w:r>
        <w:t xml:space="preserve"> </w:t>
      </w:r>
      <w:r>
        <w:t xml:space="preserve">with the chosen input dropout.</w:t>
      </w:r>
    </w:p>
    <w:p>
      <w:pPr>
        <w:numPr>
          <w:ilvl w:val="0"/>
          <w:numId w:val="1041"/>
        </w:numPr>
        <w:pStyle w:val="Compact"/>
      </w:pPr>
      <w:r>
        <w:rPr>
          <w:bCs/>
          <w:b/>
        </w:rPr>
        <w:t xml:space="preserve">Organ heads as explanation.</w:t>
      </w:r>
      <w:r>
        <w:t xml:space="preserve"> </w:t>
      </w:r>
      <w:r>
        <w:t xml:space="preserve">Reported regardless of rule 1: per-organ validation AUROC of each head’s 6 h target. A head with AUROC below 0.60 on both databases is reported as uninformative. This does not affect rule 1; it tells the consultants’ study which organ readings can be trusted.</w:t>
      </w:r>
    </w:p>
    <w:p>
      <w:pPr>
        <w:numPr>
          <w:ilvl w:val="0"/>
          <w:numId w:val="1041"/>
        </w:numPr>
        <w:pStyle w:val="Compact"/>
      </w:pPr>
      <w:r>
        <w:rPr>
          <w:bCs/>
          <w:b/>
        </w:rPr>
        <w:t xml:space="preserve">Operating point.</w:t>
      </w:r>
      <w:r>
        <w:t xml:space="preserve"> </w:t>
      </w:r>
      <w:r>
        <w:t xml:space="preserve">The quantile operating point replaces the absolute threshold for every event metric and every transfer row in stage 2 if, on the validation splits, it keeps the false-alarm rate within 0.5 per patient-day on both databases and leaves no model silent. Otherwise the absolute threshold stays and the silence is reported as found. The PhysioNet utility on internal rows keeps the absolute utility threshold, for comparability; on transfer rows both forms are reported.</w:t>
      </w:r>
    </w:p>
    <w:p>
      <w:pPr>
        <w:numPr>
          <w:ilvl w:val="0"/>
          <w:numId w:val="1041"/>
        </w:numPr>
        <w:pStyle w:val="Compact"/>
      </w:pPr>
      <w:r>
        <w:rPr>
          <w:bCs/>
          <w:b/>
        </w:rPr>
        <w:t xml:space="preserve">Policy.</w:t>
      </w:r>
      <w:r>
        <w:t xml:space="preserve"> </w:t>
      </w:r>
      <w:r>
        <w:t xml:space="preserve">Among the four policy combinations (persistence 1 or 2 h × all hours or fresh hours), the one with the highest validation event sensitivity at or under the budget, averaged over both databases, is the stage-2 default. Ties go to the simpler policy. The consultants’ study may move the budget and the persistence; that change is recorded, dated, before the holdout opens.</w:t>
      </w:r>
    </w:p>
    <w:p>
      <w:pPr>
        <w:numPr>
          <w:ilvl w:val="0"/>
          <w:numId w:val="1041"/>
        </w:numPr>
        <w:pStyle w:val="Compact"/>
      </w:pPr>
      <w:r>
        <w:rPr>
          <w:bCs/>
          <w:b/>
        </w:rPr>
        <w:t xml:space="preserve">No other change.</w:t>
      </w:r>
      <w:r>
        <w:t xml:space="preserve"> </w:t>
      </w:r>
      <w:r>
        <w:t xml:space="preserve">Predictor set, label, splits, calibration, bootstrap, horizon (6 h) and every other setting stay as in Section 1 to 9.</w:t>
      </w:r>
    </w:p>
    <w:p>
      <w:pPr>
        <w:numPr>
          <w:ilvl w:val="0"/>
          <w:numId w:val="1041"/>
        </w:numPr>
        <w:pStyle w:val="Compact"/>
      </w:pPr>
      <w:r>
        <w:rPr>
          <w:bCs/>
          <w:b/>
        </w:rPr>
        <w:t xml:space="preserve">Power, stated plainly.</w:t>
      </w:r>
      <w:r>
        <w:t xml:space="preserve"> </w:t>
      </w:r>
      <w:r>
        <w:t xml:space="preserve">Each validation split holds about 35 septic stays (MIMIC-IV) and about 22 (eICU). The rules above will be noisy, and early stopping already uses the same validation split, so validation numbers are optimistic for every configuration alike. That is why rule 1 defaults to the simpler model unless the heads are at least as good, and why none of these choices is a result: the result is the holdout.</w:t>
      </w:r>
    </w:p>
    <w:bookmarkEnd w:id="31"/>
    <w:bookmarkStart w:id="32" w:name="b.3-outputs-and-audit-trail"/>
    <w:p>
      <w:pPr>
        <w:pStyle w:val="Heading3"/>
      </w:pPr>
      <w:r>
        <w:t xml:space="preserve">10b.3 Outputs and audit trail</w:t>
      </w:r>
    </w:p>
    <w:p>
      <w:pPr>
        <w:numPr>
          <w:ilvl w:val="0"/>
          <w:numId w:val="1042"/>
        </w:numPr>
        <w:pStyle w:val="Compact"/>
      </w:pPr>
      <w:r>
        <w:t xml:space="preserve">A validation-only summary table per database: arm × input dropout × operating point × policy, with validation utility, AUPRC, event sensitivity, false alarms per patient-day, warning time, and per-organ head AUROC.</w:t>
      </w:r>
    </w:p>
    <w:p>
      <w:pPr>
        <w:numPr>
          <w:ilvl w:val="0"/>
          <w:numId w:val="1042"/>
        </w:numPr>
        <w:pStyle w:val="Compact"/>
      </w:pPr>
      <w:r>
        <w:t xml:space="preserve">The team summary code refuses to print any test-split row while</w:t>
      </w:r>
      <w:r>
        <w:t xml:space="preserve"> </w:t>
      </w:r>
      <w:r>
        <w:rPr>
          <w:rStyle w:val="VerbatimChar"/>
        </w:rPr>
        <w:t xml:space="preserve">STAGE='1b'</w:t>
      </w:r>
      <w:r>
        <w:t xml:space="preserve">; the test predictions are still written to disk, unread, so that the chosen configuration can later be reported on the development test split once, together with the stage-2 results, labelled</w:t>
      </w:r>
      <w:r>
        <w:t xml:space="preserve"> </w:t>
      </w:r>
      <w:r>
        <w:t xml:space="preserve">“</w:t>
      </w:r>
      <w:r>
        <w:t xml:space="preserve">chosen on validation in stage 1b</w:t>
      </w:r>
      <w:r>
        <w:t xml:space="preserve">”</w:t>
      </w:r>
      <w:r>
        <w:t xml:space="preserve">.</w:t>
      </w:r>
    </w:p>
    <w:p>
      <w:pPr>
        <w:numPr>
          <w:ilvl w:val="0"/>
          <w:numId w:val="1042"/>
        </w:numPr>
        <w:pStyle w:val="Compact"/>
      </w:pPr>
      <w:r>
        <w:t xml:space="preserve">The outcome of rules 1 to 4 is appended to this section with the run key and date, and Section 11 is updated in the same commit. That commit is the stage-2 freeze candidate.</w:t>
      </w:r>
    </w:p>
    <w:bookmarkEnd w:id="32"/>
    <w:bookmarkEnd w:id="33"/>
    <w:bookmarkStart w:id="34" w:name="stage-2-full-cohort"/>
    <w:p>
      <w:pPr>
        <w:pStyle w:val="Heading2"/>
      </w:pPr>
      <w:r>
        <w:t xml:space="preserve">11. Stage 2, full cohort</w:t>
      </w:r>
    </w:p>
    <w:p>
      <w:pPr>
        <w:numPr>
          <w:ilvl w:val="0"/>
          <w:numId w:val="1043"/>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the same split rules; three seeds.</w:t>
      </w:r>
    </w:p>
    <w:p>
      <w:pPr>
        <w:numPr>
          <w:ilvl w:val="0"/>
          <w:numId w:val="1043"/>
        </w:numPr>
        <w:pStyle w:val="Compact"/>
      </w:pPr>
      <w:r>
        <w:rPr>
          <w:bCs/>
          <w:b/>
        </w:rPr>
        <w:t xml:space="preserve">Arms (TO FREEZE):</w:t>
      </w:r>
    </w:p>
    <w:p>
      <w:pPr>
        <w:numPr>
          <w:ilvl w:val="1"/>
          <w:numId w:val="1044"/>
        </w:numPr>
        <w:pStyle w:val="Compact"/>
      </w:pPr>
      <w:r>
        <w:t xml:space="preserve">the union of the MIMIC-IV and eICU shortlists: GRU-D, TCN, flat OSTA, SSL-CNN→flat (pooled encoder);</w:t>
      </w:r>
    </w:p>
    <w:p>
      <w:pPr>
        <w:numPr>
          <w:ilvl w:val="1"/>
          <w:numId w:val="1044"/>
        </w:numPr>
        <w:pStyle w:val="Compact"/>
      </w:pPr>
      <w:r>
        <w:t xml:space="preserve">OSTA, CNN–Transformer, boosted trees and logistic regression;</w:t>
      </w:r>
    </w:p>
    <w:p>
      <w:pPr>
        <w:numPr>
          <w:ilvl w:val="1"/>
          <w:numId w:val="1044"/>
        </w:numPr>
        <w:pStyle w:val="Compact"/>
      </w:pPr>
      <w:r>
        <w:t xml:space="preserve">signature boosted trees;</w:t>
      </w:r>
    </w:p>
    <w:p>
      <w:pPr>
        <w:numPr>
          <w:ilvl w:val="1"/>
          <w:numId w:val="1044"/>
        </w:numPr>
        <w:pStyle w:val="Compact"/>
      </w:pPr>
      <w:r>
        <w:t xml:space="preserve">the D1 pair, labelled exploratory.</w:t>
      </w:r>
    </w:p>
    <w:p>
      <w:pPr>
        <w:numPr>
          <w:ilvl w:val="0"/>
          <w:numId w:val="1043"/>
        </w:numPr>
        <w:pStyle w:val="Compact"/>
      </w:pPr>
      <w:r>
        <w:rPr>
          <w:bCs/>
          <w:b/>
        </w:rPr>
        <w:t xml:space="preserve">Loss (decided 24 Oct 2026):</w:t>
      </w:r>
      <w:r>
        <w:t xml:space="preserve"> </w:t>
      </w:r>
      <w:r>
        <w:t xml:space="preserve">plain cross-entropy for every arm, by the Section 10 rule (first in three of four validation comparisons). The utility-weighted loss is kept selectable and runs once as a prespecified secondary comparator on</w:t>
      </w:r>
      <w:r>
        <w:t xml:space="preserve"> </w:t>
      </w:r>
      <w:r>
        <w:rPr>
          <w:rStyle w:val="VerbatimChar"/>
        </w:rPr>
        <w:t xml:space="preserve">ssl_cnn_osta</w:t>
      </w:r>
      <w:r>
        <w:t xml:space="preserve"> </w:t>
      </w:r>
      <w:r>
        <w:t xml:space="preserve">only, where it ranked first on MIMIC-IV validation; it cannot replace the primary.</w:t>
      </w:r>
    </w:p>
    <w:p>
      <w:pPr>
        <w:numPr>
          <w:ilvl w:val="0"/>
          <w:numId w:val="1043"/>
        </w:numPr>
        <w:pStyle w:val="Compact"/>
      </w:pPr>
      <w:r>
        <w:rPr>
          <w:bCs/>
          <w:b/>
        </w:rPr>
        <w:t xml:space="preserve">Project model (TO FREEZE by stage 1b, Section 10b):</w:t>
      </w:r>
      <w:r>
        <w:t xml:space="preserve"> </w:t>
      </w:r>
      <w:r>
        <w:rPr>
          <w:rStyle w:val="VerbatimChar"/>
        </w:rPr>
        <w:t xml:space="preserve">flat_osta</w:t>
      </w:r>
      <w:r>
        <w:t xml:space="preserve"> </w:t>
      </w:r>
      <w:r>
        <w:t xml:space="preserve">or</w:t>
      </w:r>
      <w:r>
        <w:t xml:space="preserve"> </w:t>
      </w:r>
      <w:r>
        <w:rPr>
          <w:rStyle w:val="VerbatimChar"/>
        </w:rPr>
        <w:t xml:space="preserve">flat_osta_heads</w:t>
      </w:r>
      <w:r>
        <w:t xml:space="preserve">, with the input-dropout setting chosen on validation; it replaces</w:t>
      </w:r>
      <w:r>
        <w:t xml:space="preserve"> </w:t>
      </w:r>
      <w:r>
        <w:rPr>
          <w:rStyle w:val="VerbatimChar"/>
        </w:rPr>
        <w:t xml:space="preserve">flat_osta</w:t>
      </w:r>
      <w:r>
        <w:t xml:space="preserve"> </w:t>
      </w:r>
      <w:r>
        <w:t xml:space="preserve">in the arm list.</w:t>
      </w:r>
    </w:p>
    <w:p>
      <w:pPr>
        <w:numPr>
          <w:ilvl w:val="0"/>
          <w:numId w:val="1043"/>
        </w:numPr>
        <w:pStyle w:val="Compact"/>
      </w:pPr>
      <w:r>
        <w:rPr>
          <w:bCs/>
          <w:b/>
        </w:rPr>
        <w:t xml:space="preserve">Operating point and alarm policy (TO FREEZE by stage 1b):</w:t>
      </w:r>
      <w:r>
        <w:t xml:space="preserve"> </w:t>
      </w:r>
      <w:r>
        <w:t xml:space="preserve">quantile operating point and the policy chosen by rule 10b.2.4, unless rule 3 fails.</w:t>
      </w:r>
    </w:p>
    <w:p>
      <w:pPr>
        <w:numPr>
          <w:ilvl w:val="0"/>
          <w:numId w:val="1043"/>
        </w:numPr>
        <w:pStyle w:val="Compact"/>
      </w:pPr>
      <w:r>
        <w:rPr>
          <w:bCs/>
          <w:b/>
        </w:rPr>
        <w:t xml:space="preserve">Pretraining corpus (TO FREEZE):</w:t>
      </w:r>
    </w:p>
    <w:p>
      <w:pPr>
        <w:numPr>
          <w:ilvl w:val="1"/>
          <w:numId w:val="1045"/>
        </w:numPr>
        <w:pStyle w:val="Compact"/>
      </w:pPr>
      <w:r>
        <w:t xml:space="preserve">non-cohort stays plus training-split stays (inputs only, no labels);</w:t>
      </w:r>
    </w:p>
    <w:p>
      <w:pPr>
        <w:numPr>
          <w:ilvl w:val="1"/>
          <w:numId w:val="1045"/>
        </w:numPr>
        <w:pStyle w:val="Compact"/>
      </w:pPr>
      <w:r>
        <w:t xml:space="preserve">excluding every stay of a validation, test or protected patient.</w:t>
      </w:r>
    </w:p>
    <w:p>
      <w:pPr>
        <w:numPr>
          <w:ilvl w:val="0"/>
          <w:numId w:val="1043"/>
        </w:numPr>
        <w:pStyle w:val="Compact"/>
      </w:pPr>
      <w:r>
        <w:rPr>
          <w:bCs/>
          <w:b/>
        </w:rPr>
        <w:t xml:space="preserve">Final-release encoder (TO FREEZE):</w:t>
      </w:r>
      <w:r>
        <w:t xml:space="preserve"> </w:t>
      </w:r>
      <w:r>
        <w:t xml:space="preserve">Section 5.3.</w:t>
      </w:r>
    </w:p>
    <w:p>
      <w:pPr>
        <w:numPr>
          <w:ilvl w:val="0"/>
          <w:numId w:val="1043"/>
        </w:numPr>
        <w:pStyle w:val="Compact"/>
      </w:pPr>
      <w:r>
        <w:rPr>
          <w:bCs/>
          <w:b/>
        </w:rPr>
        <w:t xml:space="preserve">eICU leave-hospital-out (TO FREEZE):</w:t>
      </w:r>
      <w:r>
        <w:t xml:space="preserve"> </w:t>
      </w:r>
      <w:r>
        <w:t xml:space="preserve">hospital grouping and the minimum events per hospital.</w:t>
      </w:r>
    </w:p>
    <w:p>
      <w:pPr>
        <w:numPr>
          <w:ilvl w:val="0"/>
          <w:numId w:val="1043"/>
        </w:numPr>
        <w:pStyle w:val="Compact"/>
      </w:pPr>
      <w:r>
        <w:rPr>
          <w:bCs/>
          <w:b/>
        </w:rPr>
        <w:t xml:space="preserve">Then:</w:t>
      </w:r>
    </w:p>
    <w:p>
      <w:pPr>
        <w:numPr>
          <w:ilvl w:val="1"/>
          <w:numId w:val="1046"/>
        </w:numPr>
        <w:pStyle w:val="Compact"/>
      </w:pPr>
      <w:r>
        <w:t xml:space="preserve">freeze this protocol (commit);</w:t>
      </w:r>
    </w:p>
    <w:p>
      <w:pPr>
        <w:numPr>
          <w:ilvl w:val="1"/>
          <w:numId w:val="1046"/>
        </w:numPr>
        <w:pStyle w:val="Compact"/>
      </w:pPr>
      <w:r>
        <w:t xml:space="preserve">declare</w:t>
      </w:r>
      <w:r>
        <w:t xml:space="preserve"> </w:t>
      </w:r>
      <w:r>
        <w:rPr>
          <w:rStyle w:val="VerbatimChar"/>
        </w:rPr>
        <w:t xml:space="preserve">PRIOR_TEST_EXPOSURE</w:t>
      </w:r>
      <w:r>
        <w:t xml:space="preserve">;</w:t>
      </w:r>
    </w:p>
    <w:p>
      <w:pPr>
        <w:numPr>
          <w:ilvl w:val="1"/>
          <w:numId w:val="1046"/>
        </w:numPr>
        <w:pStyle w:val="Compact"/>
      </w:pPr>
      <w:r>
        <w:t xml:space="preserve">open the holdout once;</w:t>
      </w:r>
    </w:p>
    <w:p>
      <w:pPr>
        <w:numPr>
          <w:ilvl w:val="1"/>
          <w:numId w:val="1046"/>
        </w:numPr>
        <w:pStyle w:val="Compact"/>
      </w:pPr>
      <w:r>
        <w:t xml:space="preserve">report every prespecified arm and analysis, whatever its result.</w:t>
      </w:r>
    </w:p>
    <w:p>
      <w:pPr>
        <w:numPr>
          <w:ilvl w:val="0"/>
          <w:numId w:val="1043"/>
        </w:numPr>
        <w:pStyle w:val="Compact"/>
      </w:pPr>
      <w:r>
        <w:rPr>
          <w:bCs/>
          <w:b/>
        </w:rPr>
        <w:t xml:space="preserve">Reporting standards:</w:t>
      </w:r>
      <w:r>
        <w:t xml:space="preserve"> </w:t>
      </w:r>
      <w:r>
        <w:t xml:space="preserve">TRIPOD+AI for reporting and PROBAST+AI for the risk-of-bias assessment.</w:t>
      </w:r>
    </w:p>
    <w:bookmarkEnd w:id="34"/>
    <w:bookmarkStart w:id="35" w:name="reproducibility"/>
    <w:p>
      <w:pPr>
        <w:pStyle w:val="Heading2"/>
      </w:pPr>
      <w:r>
        <w:t xml:space="preserve">12. Reproducibility</w:t>
      </w:r>
    </w:p>
    <w:p>
      <w:pPr>
        <w:numPr>
          <w:ilvl w:val="0"/>
          <w:numId w:val="1047"/>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47"/>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48"/>
        </w:numPr>
        <w:pStyle w:val="Compact"/>
      </w:pPr>
      <w:r>
        <w:t xml:space="preserve">A changed input produces a new key.</w:t>
      </w:r>
    </w:p>
    <w:p>
      <w:pPr>
        <w:numPr>
          <w:ilvl w:val="1"/>
          <w:numId w:val="1048"/>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48"/>
        </w:numPr>
        <w:pStyle w:val="Compact"/>
      </w:pPr>
      <w:r>
        <w:rPr>
          <w:rStyle w:val="VerbatimChar"/>
        </w:rPr>
        <w:t xml:space="preserve">FORCE_*</w:t>
      </w:r>
      <w:r>
        <w:t xml:space="preserve"> </w:t>
      </w:r>
      <w:r>
        <w:t xml:space="preserve">settings stay False.</w:t>
      </w:r>
    </w:p>
    <w:p>
      <w:pPr>
        <w:numPr>
          <w:ilvl w:val="0"/>
          <w:numId w:val="1047"/>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47"/>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47"/>
        </w:numPr>
        <w:pStyle w:val="Compact"/>
      </w:pPr>
      <w:r>
        <w:t xml:space="preserve">A synthetic fixture run of the whole notebook must pass before any notebook is released.</w:t>
      </w:r>
    </w:p>
    <w:p>
      <w:pPr>
        <w:numPr>
          <w:ilvl w:val="0"/>
          <w:numId w:val="1047"/>
        </w:numPr>
        <w:pStyle w:val="Compact"/>
      </w:pPr>
      <w:r>
        <w:t xml:space="preserve">Only one heavy notebook runs on the project Drive at a time.</w:t>
      </w:r>
    </w:p>
    <w:bookmarkEnd w:id="35"/>
    <w:bookmarkStart w:id="36"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 Because challenge hospital system A is Beth Israel Deaconess, the MIMIC-IV results of Notebook B are a same-hospital check and only the eICU results are external.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49"/>
        </w:numPr>
        <w:pStyle w:val="Compact"/>
      </w:pPr>
      <w:r>
        <w:rPr>
          <w:bCs/>
          <w:b/>
        </w:rPr>
        <w:t xml:space="preserve">Original split:</w:t>
      </w:r>
      <w:r>
        <w:t xml:space="preserve"> </w:t>
      </w:r>
      <w:r>
        <w:t xml:space="preserve">17.5 % test and 12.5 % validation.</w:t>
      </w:r>
    </w:p>
    <w:p>
      <w:pPr>
        <w:numPr>
          <w:ilvl w:val="0"/>
          <w:numId w:val="1049"/>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49"/>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49"/>
        </w:numPr>
        <w:pStyle w:val="Compact"/>
      </w:pPr>
      <w:r>
        <w:rPr>
          <w:bCs/>
          <w:b/>
        </w:rPr>
        <w:t xml:space="preserve">Status:</w:t>
      </w:r>
      <w:r>
        <w:t xml:space="preserve"> </w:t>
      </w:r>
      <w:r>
        <w:t xml:space="preserve">not yet run on real data; it awaits the original model folders.</w:t>
      </w:r>
    </w:p>
    <w:bookmarkEnd w:id="36"/>
    <w:bookmarkStart w:id="40"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37"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37"/>
    <w:bookmarkStart w:id="38"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50"/>
        </w:numPr>
        <w:pStyle w:val="Compact"/>
      </w:pPr>
      <w:r>
        <w:t xml:space="preserve">OSTA;</w:t>
      </w:r>
    </w:p>
    <w:p>
      <w:pPr>
        <w:numPr>
          <w:ilvl w:val="0"/>
          <w:numId w:val="1050"/>
        </w:numPr>
        <w:pStyle w:val="Compact"/>
      </w:pPr>
      <w:r>
        <w:t xml:space="preserve">the observer bank, used in four ways:</w:t>
      </w:r>
    </w:p>
    <w:p>
      <w:pPr>
        <w:numPr>
          <w:ilvl w:val="1"/>
          <w:numId w:val="1051"/>
        </w:numPr>
        <w:pStyle w:val="Compact"/>
      </w:pPr>
      <w:r>
        <w:t xml:space="preserve">as extra inputs (observer features);</w:t>
      </w:r>
    </w:p>
    <w:p>
      <w:pPr>
        <w:numPr>
          <w:ilvl w:val="1"/>
          <w:numId w:val="1051"/>
        </w:numPr>
        <w:pStyle w:val="Compact"/>
      </w:pPr>
      <w:r>
        <w:t xml:space="preserve">added at the output (output fusion);</w:t>
      </w:r>
    </w:p>
    <w:p>
      <w:pPr>
        <w:numPr>
          <w:ilvl w:val="1"/>
          <w:numId w:val="1051"/>
        </w:numPr>
        <w:pStyle w:val="Compact"/>
      </w:pPr>
      <w:r>
        <w:t xml:space="preserve">steering OSTA’s cross-organ attention through learned gates (gated guidance);</w:t>
      </w:r>
    </w:p>
    <w:p>
      <w:pPr>
        <w:numPr>
          <w:ilvl w:val="1"/>
          <w:numId w:val="1051"/>
        </w:numPr>
        <w:pStyle w:val="Compact"/>
      </w:pPr>
      <w:r>
        <w:t xml:space="preserve">the same steering always on, as a control for the gate (ungated guidance);</w:t>
      </w:r>
    </w:p>
    <w:p>
      <w:pPr>
        <w:numPr>
          <w:ilvl w:val="0"/>
          <w:numId w:val="1050"/>
        </w:numPr>
        <w:pStyle w:val="Compact"/>
      </w:pPr>
      <w:r>
        <w:t xml:space="preserve">CNN–Transformer;</w:t>
      </w:r>
    </w:p>
    <w:p>
      <w:pPr>
        <w:numPr>
          <w:ilvl w:val="0"/>
          <w:numId w:val="1050"/>
        </w:numPr>
        <w:pStyle w:val="Compact"/>
      </w:pPr>
      <w:r>
        <w:t xml:space="preserve">L2 logistic regression;</w:t>
      </w:r>
    </w:p>
    <w:p>
      <w:pPr>
        <w:numPr>
          <w:ilvl w:val="0"/>
          <w:numId w:val="1050"/>
        </w:numPr>
        <w:pStyle w:val="Compact"/>
      </w:pPr>
      <w:r>
        <w:t xml:space="preserve">histogram gradient-boosted trees.</w:t>
      </w:r>
    </w:p>
    <w:p>
      <w:pPr>
        <w:pStyle w:val="FirstParagraph"/>
      </w:pPr>
      <w:r>
        <w:t xml:space="preserve">Controls:</w:t>
      </w:r>
    </w:p>
    <w:p>
      <w:pPr>
        <w:numPr>
          <w:ilvl w:val="0"/>
          <w:numId w:val="1052"/>
        </w:numPr>
        <w:pStyle w:val="Compact"/>
      </w:pPr>
      <w:r>
        <w:t xml:space="preserve">raw values only, to test whether feature engineering adds anything;</w:t>
      </w:r>
    </w:p>
    <w:p>
      <w:pPr>
        <w:numPr>
          <w:ilvl w:val="0"/>
          <w:numId w:val="1052"/>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38"/>
    <w:bookmarkStart w:id="39" w:name="stage-3-v11-this-protocol"/>
    <w:p>
      <w:pPr>
        <w:pStyle w:val="Heading3"/>
      </w:pPr>
      <w:r>
        <w:t xml:space="preserve">14.3 Stage 3: V11 (this protocol)</w:t>
      </w:r>
    </w:p>
    <w:p>
      <w:pPr>
        <w:pStyle w:val="FirstParagraph"/>
      </w:pPr>
      <w:r>
        <w:t xml:space="preserve">The findings of stage 2 shaped stage 3:</w:t>
      </w:r>
    </w:p>
    <w:p>
      <w:pPr>
        <w:numPr>
          <w:ilvl w:val="0"/>
          <w:numId w:val="1053"/>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3"/>
        </w:numPr>
        <w:pStyle w:val="Compact"/>
      </w:pPr>
      <w:r>
        <w:rPr>
          <w:bCs/>
          <w:b/>
        </w:rPr>
        <w:t xml:space="preserve">Models overfitted within a few epochs.</w:t>
      </w:r>
      <w:r>
        <w:t xml:space="preserve"> </w:t>
      </w:r>
      <w:r>
        <w:t xml:space="preserve">The response combines three things:</w:t>
      </w:r>
    </w:p>
    <w:p>
      <w:pPr>
        <w:numPr>
          <w:ilvl w:val="1"/>
          <w:numId w:val="1054"/>
        </w:numPr>
        <w:pStyle w:val="Compact"/>
      </w:pPr>
      <w:r>
        <w:t xml:space="preserve">testing the organ hypothesis directly (flat OSTA);</w:t>
      </w:r>
    </w:p>
    <w:p>
      <w:pPr>
        <w:numPr>
          <w:ilvl w:val="1"/>
          <w:numId w:val="1054"/>
        </w:numPr>
        <w:pStyle w:val="Compact"/>
      </w:pPr>
      <w:r>
        <w:t xml:space="preserve">adding models built for irregular ICU data (GRU-D, TCN, the winner’s method);</w:t>
      </w:r>
    </w:p>
    <w:p>
      <w:pPr>
        <w:numPr>
          <w:ilvl w:val="1"/>
          <w:numId w:val="1054"/>
        </w:numPr>
        <w:pStyle w:val="Compact"/>
      </w:pPr>
      <w:r>
        <w:t xml:space="preserve">using scarce labels better (self-supervised pretraining, per-channel encoders, event attention, the hazard head), with a loss aligned to the utility score.</w:t>
      </w:r>
    </w:p>
    <w:p>
      <w:pPr>
        <w:numPr>
          <w:ilvl w:val="0"/>
          <w:numId w:val="1053"/>
        </w:numPr>
        <w:pStyle w:val="Compact"/>
      </w:pPr>
      <w:r>
        <w:rPr>
          <w:bCs/>
          <w:b/>
        </w:rPr>
        <w:t xml:space="preserve">The original OSTA loss gave no gain.</w:t>
      </w:r>
      <w:r>
        <w:t xml:space="preserve"> </w:t>
      </w:r>
      <w:r>
        <w:t xml:space="preserve">It was retired.</w:t>
      </w:r>
    </w:p>
    <w:bookmarkEnd w:id="39"/>
    <w:bookmarkEnd w:id="40"/>
    <w:bookmarkStart w:id="41" w:name="X0296bd26dd3c8397ebfff3644d5772bc7e084f6"/>
    <w:p>
      <w:pPr>
        <w:pStyle w:val="Heading2"/>
      </w:pPr>
      <w:r>
        <w:t xml:space="preserve">15. Known code notes (no effect on stage-1 results; to correct before stage 2)</w:t>
      </w:r>
    </w:p>
    <w:p>
      <w:pPr>
        <w:numPr>
          <w:ilvl w:val="0"/>
          <w:numId w:val="1055"/>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5"/>
        </w:numPr>
        <w:pStyle w:val="Compact"/>
      </w:pPr>
      <w:r>
        <w:t xml:space="preserve">The secondary analysis notebook still names the V10 arm list.</w:t>
      </w:r>
    </w:p>
    <w:p>
      <w:pPr>
        <w:numPr>
          <w:ilvl w:val="0"/>
          <w:numId w:val="1055"/>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2026-10-24T21:20:12Z</dcterms:created>
  <dcterms:modified xsi:type="dcterms:W3CDTF">2026-10-24T21:20:12Z</dcterms:modified>
</cp:coreProperties>
</file>

<file path=docProps/custom.xml><?xml version="1.0" encoding="utf-8"?>
<Properties xmlns="http://schemas.openxmlformats.org/officeDocument/2006/custom-properties" xmlns:vt="http://schemas.openxmlformats.org/officeDocument/2006/docPropsVTypes"/>
</file>