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the data say about the disease: reading of the pathophysiology run (30 Oct 2026)</w:t>
      </w:r>
    </w:p>
    <w:bookmarkStart w:id="28" w:name="X460a4824f4470e962465eb9784f6ba0341ea5cc"/>
    <w:p>
      <w:pPr>
        <w:pStyle w:val="Heading1"/>
      </w:pPr>
      <w:r>
        <w:t xml:space="preserve">What the data say about the disease: reading of the pathophysiology run</w:t>
      </w:r>
    </w:p>
    <w:p>
      <w:pPr>
        <w:pStyle w:val="FirstParagraph"/>
      </w:pPr>
      <w:r>
        <w:rPr>
          <w:bCs/>
          <w:b/>
        </w:rPr>
        <w:t xml:space="preserve">Run key 3101b901d915324b, notebook</w:t>
      </w:r>
      <w:r>
        <w:rPr>
          <w:bCs/>
          <w:b/>
        </w:rPr>
        <w:t xml:space="preserve"> </w:t>
      </w:r>
      <w:r>
        <w:rPr>
          <w:rStyle w:val="VerbatimChar"/>
          <w:bCs/>
          <w:b/>
        </w:rPr>
        <w:t xml:space="preserve">_13_pathophysiology</w:t>
      </w:r>
      <w:r>
        <w:rPr>
          <w:bCs/>
          <w:b/>
        </w:rPr>
        <w:t xml:space="preserve">, 30 October 2026.</w:t>
      </w:r>
      <w:r>
        <w:t xml:space="preserve"> </w:t>
      </w:r>
      <w:r>
        <w:t xml:space="preserve">Development splits of the 10,000-stay samples; training-split and non-cohort patients only; every number below is an aggregate with counts under 11 masked. Cliff’s delta is written as MIMIC-IV / eICU unless stated.</w:t>
      </w:r>
      <w:r>
        <w:t xml:space="preserve"> </w:t>
      </w:r>
      <w:r>
        <w:t xml:space="preserve">“</w:t>
      </w:r>
      <w:r>
        <w:t xml:space="preserve">Shared</w:t>
      </w:r>
      <w:r>
        <w:t xml:space="preserve">”</w:t>
      </w:r>
      <w:r>
        <w:t xml:space="preserve"> </w:t>
      </w:r>
      <w:r>
        <w:t xml:space="preserve">means same sign and at least 0.147 in both databases.</w:t>
      </w:r>
    </w:p>
    <w:bookmarkStart w:id="20" w:name="who-is-in-the-study"/>
    <w:p>
      <w:pPr>
        <w:pStyle w:val="Heading2"/>
      </w:pPr>
      <w:r>
        <w:t xml:space="preserve">1. Who is in the study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Stratum</w:t>
            </w:r>
          </w:p>
        </w:tc>
        <w:tc>
          <w:tcPr/>
          <w:p>
            <w:pPr>
              <w:pStyle w:val="Compact"/>
              <w:jc w:val="left"/>
            </w:pPr>
            <w:r>
              <w:t xml:space="preserve">MIMIC-IV</w:t>
            </w:r>
          </w:p>
        </w:tc>
        <w:tc>
          <w:tcPr/>
          <w:p>
            <w:pPr>
              <w:pStyle w:val="Compact"/>
              <w:jc w:val="left"/>
            </w:pPr>
            <w:r>
              <w:t xml:space="preserve">eICU</w:t>
            </w:r>
          </w:p>
        </w:tc>
        <w:tc>
          <w:tcPr/>
          <w:p>
            <w:pPr>
              <w:pStyle w:val="Compact"/>
              <w:jc w:val="left"/>
            </w:pPr>
            <w:r>
              <w:t xml:space="preserve">Hospital mortality MIMIC / eICU</w:t>
            </w:r>
          </w:p>
        </w:tc>
      </w:tr>
      <w:tr>
        <w:tc>
          <w:tcPr/>
          <w:p>
            <w:pPr>
              <w:pStyle w:val="Compact"/>
              <w:jc w:val="left"/>
            </w:pPr>
            <w:r>
              <w:t xml:space="preserve">Incident (onset at or after hour 6)</w:t>
            </w:r>
          </w:p>
        </w:tc>
        <w:tc>
          <w:tcPr/>
          <w:p>
            <w:pPr>
              <w:pStyle w:val="Compact"/>
              <w:jc w:val="left"/>
            </w:pPr>
            <w:r>
              <w:t xml:space="preserve">224</w:t>
            </w:r>
          </w:p>
        </w:tc>
        <w:tc>
          <w:tcPr/>
          <w:p>
            <w:pPr>
              <w:pStyle w:val="Compact"/>
              <w:jc w:val="left"/>
            </w:pPr>
            <w:r>
              <w:t xml:space="preserve">144</w:t>
            </w:r>
          </w:p>
        </w:tc>
        <w:tc>
          <w:tcPr/>
          <w:p>
            <w:pPr>
              <w:pStyle w:val="Compact"/>
              <w:jc w:val="left"/>
            </w:pPr>
            <w:r>
              <w:t xml:space="preserve">25 % / 16 %</w:t>
            </w:r>
          </w:p>
        </w:tc>
      </w:tr>
      <w:tr>
        <w:tc>
          <w:tcPr/>
          <w:p>
            <w:pPr>
              <w:pStyle w:val="Compact"/>
              <w:jc w:val="left"/>
            </w:pPr>
            <w:r>
              <w:t xml:space="preserve">Septic on arrival (onset at or before hour 0)</w:t>
            </w:r>
          </w:p>
        </w:tc>
        <w:tc>
          <w:tcPr/>
          <w:p>
            <w:pPr>
              <w:pStyle w:val="Compact"/>
              <w:jc w:val="left"/>
            </w:pPr>
            <w:r>
              <w:t xml:space="preserve">318</w:t>
            </w:r>
          </w:p>
        </w:tc>
        <w:tc>
          <w:tcPr/>
          <w:p>
            <w:pPr>
              <w:pStyle w:val="Compact"/>
              <w:jc w:val="left"/>
            </w:pPr>
            <w:r>
              <w:t xml:space="preserve">208</w:t>
            </w:r>
          </w:p>
        </w:tc>
        <w:tc>
          <w:tcPr/>
          <w:p>
            <w:pPr>
              <w:pStyle w:val="Compact"/>
              <w:jc w:val="left"/>
            </w:pPr>
            <w:r>
              <w:t xml:space="preserve">37 % / 22 %</w:t>
            </w:r>
          </w:p>
        </w:tc>
      </w:tr>
      <w:tr>
        <w:tc>
          <w:tcPr/>
          <w:p>
            <w:pPr>
              <w:pStyle w:val="Compact"/>
              <w:jc w:val="left"/>
            </w:pPr>
            <w:r>
              <w:t xml:space="preserve">Early ICU onset (hours 0 to 6)</w:t>
            </w:r>
          </w:p>
        </w:tc>
        <w:tc>
          <w:tcPr/>
          <w:p>
            <w:pPr>
              <w:pStyle w:val="Compact"/>
              <w:jc w:val="left"/>
            </w:pPr>
            <w:r>
              <w:t xml:space="preserve">510</w:t>
            </w:r>
          </w:p>
        </w:tc>
        <w:tc>
          <w:tcPr/>
          <w:p>
            <w:pPr>
              <w:pStyle w:val="Compact"/>
              <w:jc w:val="left"/>
            </w:pPr>
            <w:r>
              <w:t xml:space="preserve">66</w:t>
            </w:r>
          </w:p>
        </w:tc>
        <w:tc>
          <w:tcPr/>
          <w:p>
            <w:pPr>
              <w:pStyle w:val="Compact"/>
              <w:jc w:val="left"/>
            </w:pPr>
            <w:r>
              <w:t xml:space="preserve">31 % / 15 %</w:t>
            </w:r>
          </w:p>
        </w:tc>
      </w:tr>
      <w:tr>
        <w:tc>
          <w:tcPr/>
          <w:p>
            <w:pPr>
              <w:pStyle w:val="Compact"/>
              <w:jc w:val="left"/>
            </w:pPr>
            <w:r>
              <w:t xml:space="preserve">Controls (seeded sample)</w:t>
            </w:r>
          </w:p>
        </w:tc>
        <w:tc>
          <w:tcPr/>
          <w:p>
            <w:pPr>
              <w:pStyle w:val="Compact"/>
              <w:jc w:val="left"/>
            </w:pPr>
            <w:r>
              <w:t xml:space="preserve">3,000</w:t>
            </w:r>
          </w:p>
        </w:tc>
        <w:tc>
          <w:tcPr/>
          <w:p>
            <w:pPr>
              <w:pStyle w:val="Compact"/>
              <w:jc w:val="left"/>
            </w:pPr>
            <w:r>
              <w:t xml:space="preserve">2,668</w:t>
            </w:r>
          </w:p>
        </w:tc>
        <w:tc>
          <w:tcPr/>
          <w:p>
            <w:pPr>
              <w:pStyle w:val="Compact"/>
              <w:jc w:val="left"/>
            </w:pPr>
            <w:r>
              <w:t xml:space="preserve">8 % / 6 %</w:t>
            </w:r>
          </w:p>
        </w:tc>
      </w:tr>
    </w:tbl>
    <w:p>
      <w:pPr>
        <w:pStyle w:val="BodyText"/>
      </w:pPr>
      <w:r>
        <w:t xml:space="preserve">Three things about the strata matter before any physiology is read.</w:t>
      </w:r>
    </w:p>
    <w:p>
      <w:pPr>
        <w:numPr>
          <w:ilvl w:val="0"/>
          <w:numId w:val="1001"/>
        </w:numPr>
        <w:pStyle w:val="Compact"/>
      </w:pPr>
      <w:r>
        <w:rPr>
          <w:bCs/>
          <w:b/>
        </w:rPr>
        <w:t xml:space="preserve">“</w:t>
      </w:r>
      <w:r>
        <w:rPr>
          <w:bCs/>
          <w:b/>
        </w:rPr>
        <w:t xml:space="preserve">Septic on arrival</w:t>
      </w:r>
      <w:r>
        <w:rPr>
          <w:bCs/>
          <w:b/>
        </w:rPr>
        <w:t xml:space="preserve">”</w:t>
      </w:r>
      <w:r>
        <w:rPr>
          <w:bCs/>
          <w:b/>
        </w:rPr>
        <w:t xml:space="preserve"> </w:t>
      </w:r>
      <w:r>
        <w:rPr>
          <w:bCs/>
          <w:b/>
        </w:rPr>
        <w:t xml:space="preserve">means different things in the two databases.</w:t>
      </w:r>
      <w:r>
        <w:t xml:space="preserve"> </w:t>
      </w:r>
      <w:r>
        <w:t xml:space="preserve">In MIMIC-IV, 62 % of these patients came from a ward and had been in hospital a median of 46 hours; they are ward-onset sepsis transferred to the ICU, not emergency-department sepsis. Emergency sepsis in MIMIC-IV mostly becomes</w:t>
      </w:r>
      <w:r>
        <w:t xml:space="preserve"> </w:t>
      </w:r>
      <w:r>
        <w:rPr>
          <w:iCs/>
          <w:i/>
        </w:rPr>
        <w:t xml:space="preserve">early ICU onset</w:t>
      </w:r>
      <w:r>
        <w:t xml:space="preserve"> </w:t>
      </w:r>
      <w:r>
        <w:t xml:space="preserve">(60 % from the ED, a median of 1.3 hours in hospital before the ICU), which is the largest septic stratum there. In eICU the arrival stratum is half emergency-department patients, and only 39 % of the early-onset candidates were found in the corpus, so the eICU arrival strata are a sample.</w:t>
      </w:r>
    </w:p>
    <w:p>
      <w:pPr>
        <w:numPr>
          <w:ilvl w:val="0"/>
          <w:numId w:val="1001"/>
        </w:numPr>
        <w:pStyle w:val="Compact"/>
      </w:pPr>
      <w:r>
        <w:rPr>
          <w:bCs/>
          <w:b/>
        </w:rPr>
        <w:t xml:space="preserve">The operational onset lags the clinicians.</w:t>
      </w:r>
      <w:r>
        <w:t xml:space="preserve"> </w:t>
      </w:r>
      <w:r>
        <w:t xml:space="preserve">Among incident patients the first antibiotic around onset was started a median of 7 hours</w:t>
      </w:r>
      <w:r>
        <w:t xml:space="preserve"> </w:t>
      </w:r>
      <w:r>
        <w:rPr>
          <w:iCs/>
          <w:i/>
        </w:rPr>
        <w:t xml:space="preserve">before</w:t>
      </w:r>
      <w:r>
        <w:t xml:space="preserve"> </w:t>
      </w:r>
      <w:r>
        <w:t xml:space="preserve">the operational onset hour in both databases (63 % before onset in MIMIC-IV, 44 % in eICU). The onset hour is usually the hour the SOFA rise completed, after treatment had begun. A six-hour warning before the operational onset is, for about half of the patients, a warning after the antibiotic.</w:t>
      </w:r>
    </w:p>
    <w:p>
      <w:pPr>
        <w:numPr>
          <w:ilvl w:val="0"/>
          <w:numId w:val="1001"/>
        </w:numPr>
        <w:pStyle w:val="Compact"/>
      </w:pPr>
      <w:r>
        <w:rPr>
          <w:bCs/>
          <w:b/>
        </w:rPr>
        <w:t xml:space="preserve">The label and the clinicians disagree often.</w:t>
      </w:r>
      <w:r>
        <w:t xml:space="preserve"> </w:t>
      </w:r>
      <w:r>
        <w:t xml:space="preserve">In eICU, 28 % of</w:t>
      </w:r>
      <w:r>
        <w:t xml:space="preserve"> </w:t>
      </w:r>
      <w:r>
        <w:rPr>
          <w:iCs/>
          <w:i/>
        </w:rPr>
        <w:t xml:space="preserve">incident</w:t>
      </w:r>
      <w:r>
        <w:t xml:space="preserve"> </w:t>
      </w:r>
      <w:r>
        <w:t xml:space="preserve">patients carried an APACHE admission diagnosis of sepsis, and 35 % an infectious admission diagnosis (controls 12 %). Sepsis was coded or listed for only 35 to 50 % of operationally septic stays. The operational definition and clinical documentation overlap, but neither contains the other.</w:t>
      </w:r>
    </w:p>
    <w:bookmarkEnd w:id="20"/>
    <w:bookmarkStart w:id="21" w:name="X8d70ff620f938c9b57f5eb05ba3a7a2c3187051"/>
    <w:p>
      <w:pPr>
        <w:pStyle w:val="Heading2"/>
      </w:pPr>
      <w:r>
        <w:t xml:space="preserve">2. The pre-onset signal of ICU-acquired sepsis</w:t>
      </w:r>
    </w:p>
    <w:p>
      <w:pPr>
        <w:pStyle w:val="FirstParagraph"/>
      </w:pPr>
      <w:r>
        <w:rPr>
          <w:bCs/>
          <w:b/>
        </w:rPr>
        <w:t xml:space="preserve">What is shared across both databases in the 12 hours before onset (comparison C2, incident versus controls at matched hours).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Delta MIMIC-IV / eICU</w:t>
            </w:r>
          </w:p>
        </w:tc>
        <w:tc>
          <w:tcPr/>
          <w:p>
            <w:pPr>
              <w:pStyle w:val="Compact"/>
              <w:jc w:val="left"/>
            </w:pPr>
            <w:r>
              <w:t xml:space="preserve">Reading</w:t>
            </w:r>
          </w:p>
        </w:tc>
      </w:tr>
      <w:tr>
        <w:tc>
          <w:tcPr/>
          <w:p>
            <w:pPr>
              <w:pStyle w:val="Compact"/>
              <w:jc w:val="left"/>
            </w:pPr>
            <w:r>
              <w:t xml:space="preserve">NEWS2 among measured</w:t>
            </w:r>
          </w:p>
        </w:tc>
        <w:tc>
          <w:tcPr/>
          <w:p>
            <w:pPr>
              <w:pStyle w:val="Compact"/>
              <w:jc w:val="left"/>
            </w:pPr>
            <w:r>
              <w:t xml:space="preserve">+0.38 / +0.29</w:t>
            </w:r>
          </w:p>
        </w:tc>
        <w:tc>
          <w:tcPr/>
          <w:p>
            <w:pPr>
              <w:pStyle w:val="Compact"/>
              <w:jc w:val="left"/>
            </w:pPr>
            <w:r>
              <w:t xml:space="preserve">the composite moves first and most</w:t>
            </w:r>
          </w:p>
        </w:tc>
      </w:tr>
      <w:tr>
        <w:tc>
          <w:tcPr/>
          <w:p>
            <w:pPr>
              <w:pStyle w:val="Compact"/>
              <w:jc w:val="left"/>
            </w:pPr>
            <w:r>
              <w:t xml:space="preserve">Temperature, 24-hour maximum</w:t>
            </w:r>
          </w:p>
        </w:tc>
        <w:tc>
          <w:tcPr/>
          <w:p>
            <w:pPr>
              <w:pStyle w:val="Compact"/>
              <w:jc w:val="left"/>
            </w:pPr>
            <w:r>
              <w:t xml:space="preserve">+0.31 / +0.18</w:t>
            </w:r>
          </w:p>
        </w:tc>
        <w:tc>
          <w:tcPr/>
          <w:p>
            <w:pPr>
              <w:pStyle w:val="Compact"/>
              <w:jc w:val="left"/>
            </w:pPr>
            <w:r>
              <w:t xml:space="preserve">warmer, and warmest in the preceding day</w:t>
            </w:r>
          </w:p>
        </w:tc>
      </w:tr>
      <w:tr>
        <w:tc>
          <w:tcPr/>
          <w:p>
            <w:pPr>
              <w:pStyle w:val="Compact"/>
              <w:jc w:val="left"/>
            </w:pPr>
            <w:r>
              <w:t xml:space="preserve">Temperature (fresh)</w:t>
            </w:r>
          </w:p>
        </w:tc>
        <w:tc>
          <w:tcPr/>
          <w:p>
            <w:pPr>
              <w:pStyle w:val="Compact"/>
              <w:jc w:val="left"/>
            </w:pPr>
            <w:r>
              <w:t xml:space="preserve">+0.30 / +0.15</w:t>
            </w:r>
          </w:p>
        </w:tc>
        <w:tc>
          <w:tcPr/>
          <w:p>
            <w:pPr>
              <w:pStyle w:val="Compact"/>
            </w:pPr>
          </w:p>
        </w:tc>
      </w:tr>
      <w:tr>
        <w:tc>
          <w:tcPr/>
          <w:p>
            <w:pPr>
              <w:pStyle w:val="Compact"/>
              <w:jc w:val="left"/>
            </w:pPr>
            <w:r>
              <w:t xml:space="preserve">Albumin</w:t>
            </w:r>
          </w:p>
        </w:tc>
        <w:tc>
          <w:tcPr/>
          <w:p>
            <w:pPr>
              <w:pStyle w:val="Compact"/>
              <w:jc w:val="left"/>
            </w:pPr>
            <w:r>
              <w:t xml:space="preserve">−0.29 / −0.31</w:t>
            </w:r>
          </w:p>
        </w:tc>
        <w:tc>
          <w:tcPr/>
          <w:p>
            <w:pPr>
              <w:pStyle w:val="Compact"/>
              <w:jc w:val="left"/>
            </w:pPr>
            <w:r>
              <w:t xml:space="preserve">capillary leak and negative acute phase</w:t>
            </w:r>
          </w:p>
        </w:tc>
      </w:tr>
      <w:tr>
        <w:tc>
          <w:tcPr/>
          <w:p>
            <w:pPr>
              <w:pStyle w:val="Compact"/>
              <w:jc w:val="left"/>
            </w:pPr>
            <w:r>
              <w:t xml:space="preserve">qSOFA among measured</w:t>
            </w:r>
          </w:p>
        </w:tc>
        <w:tc>
          <w:tcPr/>
          <w:p>
            <w:pPr>
              <w:pStyle w:val="Compact"/>
              <w:jc w:val="left"/>
            </w:pPr>
            <w:r>
              <w:t xml:space="preserve">+0.27 / +0.21</w:t>
            </w:r>
          </w:p>
        </w:tc>
        <w:tc>
          <w:tcPr/>
          <w:p>
            <w:pPr>
              <w:pStyle w:val="Compact"/>
            </w:pPr>
          </w:p>
        </w:tc>
      </w:tr>
      <w:tr>
        <w:tc>
          <w:tcPr/>
          <w:p>
            <w:pPr>
              <w:pStyle w:val="Compact"/>
              <w:jc w:val="left"/>
            </w:pPr>
            <w:r>
              <w:t xml:space="preserve">Respiratory rate</w:t>
            </w:r>
          </w:p>
        </w:tc>
        <w:tc>
          <w:tcPr/>
          <w:p>
            <w:pPr>
              <w:pStyle w:val="Compact"/>
              <w:jc w:val="left"/>
            </w:pPr>
            <w:r>
              <w:t xml:space="preserve">+0.18 / +0.21</w:t>
            </w:r>
          </w:p>
        </w:tc>
        <w:tc>
          <w:tcPr/>
          <w:p>
            <w:pPr>
              <w:pStyle w:val="Compact"/>
              <w:jc w:val="left"/>
            </w:pPr>
            <w:r>
              <w:t xml:space="preserve">tachypnoea</w:t>
            </w:r>
          </w:p>
        </w:tc>
      </w:tr>
      <w:tr>
        <w:tc>
          <w:tcPr/>
          <w:p>
            <w:pPr>
              <w:pStyle w:val="Compact"/>
              <w:jc w:val="left"/>
            </w:pPr>
            <w:r>
              <w:t xml:space="preserve">PTT</w:t>
            </w:r>
          </w:p>
        </w:tc>
        <w:tc>
          <w:tcPr/>
          <w:p>
            <w:pPr>
              <w:pStyle w:val="Compact"/>
              <w:jc w:val="left"/>
            </w:pPr>
            <w:r>
              <w:t xml:space="preserve">+0.17 / +0.28</w:t>
            </w:r>
          </w:p>
        </w:tc>
        <w:tc>
          <w:tcPr/>
          <w:p>
            <w:pPr>
              <w:pStyle w:val="Compact"/>
              <w:jc w:val="left"/>
            </w:pPr>
            <w:r>
              <w:t xml:space="preserve">early coagulation activation</w:t>
            </w:r>
          </w:p>
        </w:tc>
      </w:tr>
      <w:tr>
        <w:tc>
          <w:tcPr/>
          <w:p>
            <w:pPr>
              <w:pStyle w:val="Compact"/>
              <w:jc w:val="left"/>
            </w:pPr>
            <w:r>
              <w:t xml:space="preserve">Lymphocytes</w:t>
            </w:r>
          </w:p>
        </w:tc>
        <w:tc>
          <w:tcPr/>
          <w:p>
            <w:pPr>
              <w:pStyle w:val="Compact"/>
              <w:jc w:val="left"/>
            </w:pPr>
            <w:r>
              <w:t xml:space="preserve">−0.17 / −0.22</w:t>
            </w:r>
          </w:p>
        </w:tc>
        <w:tc>
          <w:tcPr/>
          <w:p>
            <w:pPr>
              <w:pStyle w:val="Compact"/>
              <w:jc w:val="left"/>
            </w:pPr>
            <w:r>
              <w:t xml:space="preserve">lymphopenia</w:t>
            </w:r>
          </w:p>
        </w:tc>
      </w:tr>
      <w:tr>
        <w:tc>
          <w:tcPr/>
          <w:p>
            <w:pPr>
              <w:pStyle w:val="Compact"/>
              <w:jc w:val="left"/>
            </w:pPr>
            <w:r>
              <w:t xml:space="preserve">Neutrophil-to-lymphocyte ratio</w:t>
            </w:r>
          </w:p>
        </w:tc>
        <w:tc>
          <w:tcPr/>
          <w:p>
            <w:pPr>
              <w:pStyle w:val="Compact"/>
              <w:jc w:val="left"/>
            </w:pPr>
            <w:r>
              <w:t xml:space="preserve">+0.17 / +0.22</w:t>
            </w:r>
          </w:p>
        </w:tc>
        <w:tc>
          <w:tcPr/>
          <w:p>
            <w:pPr>
              <w:pStyle w:val="Compact"/>
            </w:pPr>
          </w:p>
        </w:tc>
      </w:tr>
    </w:tbl>
    <w:p>
      <w:pPr>
        <w:pStyle w:val="BodyText"/>
      </w:pPr>
      <w:r>
        <w:t xml:space="preserve">In the earlier window (24 to 12 hours before onset, C2b) heart rate joins the shared list (+0.16 / +0.33) and so does pH (+0.21 / +0.19): the tachypnoea produces a respiratory alkalosis before anything else is acidotic. Hypotension, creatinine, bilirubin, glucose, bicarbonate, white-cell count and GCS show no shared signal before onset. Platelets are not lower; in MIMIC-IV they are slightly higher. Lactate, FiO2 and the shock index are eICU-only signals; a lower urine output is MIMIC-only.</w:t>
      </w:r>
    </w:p>
    <w:p>
      <w:pPr>
        <w:pStyle w:val="BodyText"/>
      </w:pPr>
      <w:r>
        <w:rPr>
          <w:bCs/>
          <w:b/>
        </w:rPr>
        <w:t xml:space="preserve">Three checks say this is physiology, not charting.</w:t>
      </w:r>
      <w:r>
        <w:t xml:space="preserve"> </w:t>
      </w:r>
      <w:r>
        <w:t xml:space="preserve">The deltas for temperature, respiratory rate and heart rate are unchanged when the comparison is restricted to stays measured in every 4-hour bin (selection check). Vital signs are measured at the same rate in incident and control patients before onset (rate ratios 0.95 to 1.02). And in eICU the between-hospital share of variance is below 5 % for almost every value while it is 10 to 28 % for the measurement rates: hospitals differ in what they measure, not in what the bodies do. Anion gap (value ICC 0.41) and CRP (0.20) are the exceptions and should be treated as method-dependent.</w:t>
      </w:r>
    </w:p>
    <w:p>
      <w:pPr>
        <w:pStyle w:val="BodyText"/>
      </w:pPr>
      <w:r>
        <w:rPr>
          <w:bCs/>
          <w:b/>
        </w:rPr>
        <w:t xml:space="preserve">But most of the signal is a difference, not a change.</w:t>
      </w:r>
      <w:r>
        <w:t xml:space="preserve"> </w:t>
      </w:r>
      <w:r>
        <w:t xml:space="preserve">The departure-timing table shows the composite scores, the 24-hour temperature maximum and (in eICU) heart rate already separated from controls 48 hours before onset, which is the whole window examined. The slope comparison (C6) finds no shared change in the last 12 hours; only FiO2, glucose and lactate slopes rise, in MIMIC-IV. The baseline comparison (C1, hours 1 to 24 of the stay) already shows the incident patients with higher NEWS2 (strong shared), higher qSOFA, respiratory rate, shock index and neutrophil-to-lymphocyte ratio and a lower GCS. In MIMIC-IV they are also more instrumented before onset than controls: intubated 51 % versus 28 %, sedated 60 % versus 41 %, on a vasopressor 25 % versus 14 %. In plain words:</w:t>
      </w:r>
      <w:r>
        <w:t xml:space="preserve"> </w:t>
      </w:r>
      <w:r>
        <w:rPr>
          <w:bCs/>
          <w:b/>
        </w:rPr>
        <w:t xml:space="preserve">the patient who will become septic in the ICU is already a different patient from admission, and the hours before onset add a modest, low-grade systemic signature on top of that difference.</w:t>
      </w:r>
    </w:p>
    <w:p>
      <w:pPr>
        <w:pStyle w:val="BodyText"/>
      </w:pPr>
      <w:r>
        <w:rPr>
          <w:bCs/>
          <w:b/>
        </w:rPr>
        <w:t xml:space="preserve">Signs within patients (48 hours before onset, new signs preceded by a normal value).</w:t>
      </w:r>
      <w:r>
        <w:t xml:space="preserve"> </w:t>
      </w:r>
      <w:r>
        <w:t xml:space="preserve">Fever is the most specific new sign (15 % of MIMIC-IV incident stays versus 2 % of matched controls; 11 % versus 3 % in eICU) but it is rare. New tachycardia (23 to 24 % versus 15 to 17 %), new desaturation (22 to 31 % versus 12 to 21 %) and new oliguria (19 to 23 % versus 13 %) are moderately more frequent. New tachypnoea is as frequent in controls as in cases (36 %), and new hypotension nearly so; both are everyday ICU events. New leucocytosis, hypothermia, hyperglycaemia and a lactate rise do not discriminate. The median lead of the new signs is 9 to 14 hours for the vital signs and 2 to 4 hours for lactate in MIMIC-IV. The precedence matrices disagree between databases on the order of the cardiovascular signs (hypotension early in MIMIC-IV, tachycardia early in eICU) and agree that fever and oliguria come late. The within-patient order of signs is therefore not a transferable feature; the presence of the low-grade systemic signature is.</w:t>
      </w:r>
    </w:p>
    <w:p>
      <w:pPr>
        <w:pStyle w:val="BodyText"/>
      </w:pPr>
      <w:r>
        <w:rPr>
          <w:bCs/>
          <w:b/>
        </w:rPr>
        <w:t xml:space="preserve">Temperature is bimodal only on the deteriorating side.</w:t>
      </w:r>
      <w:r>
        <w:t xml:space="preserve"> </w:t>
      </w:r>
      <w:r>
        <w:t xml:space="preserve">At the onset hour, fever (24-hour maximum at or above 38.3 °C) is more frequent in incident patients than controls (17 % versus 4 % MIMIC-IV; 11 % versus 5 % eICU), but hypothermia is not (12 to 14 % in both). Hypothermia appears when the course is read: 21 to 23 % of deteriorating incident patients versus 16 % of improving ones. Hypothermia marks the course, not the onset.</w:t>
      </w:r>
    </w:p>
    <w:p>
      <w:pPr>
        <w:pStyle w:val="BodyText"/>
      </w:pPr>
      <w:r>
        <w:rPr>
          <w:bCs/>
          <w:b/>
        </w:rPr>
        <w:t xml:space="preserve">Masking therapies.</w:t>
      </w:r>
      <w:r>
        <w:t xml:space="preserve"> </w:t>
      </w:r>
      <w:r>
        <w:t xml:space="preserve">Beta-blockade does not remove the heart-rate signal (0.21 to 0.24 in exposed stays). Invasive ventilation halves the respiratory-rate signal in MIMIC-IV (0.14 versus 0.30). Antipyretic exposure</w:t>
      </w:r>
      <w:r>
        <w:t xml:space="preserve"> </w:t>
      </w:r>
      <w:r>
        <w:rPr>
          <w:iCs/>
          <w:i/>
        </w:rPr>
        <w:t xml:space="preserve">increases</w:t>
      </w:r>
      <w:r>
        <w:t xml:space="preserve"> </w:t>
      </w:r>
      <w:r>
        <w:t xml:space="preserve">the temperature delta (0.40 versus 0.22 in MIMIC-IV) because the drug is given for the fever; the antipyretic flag is itself a sign. The GCS signal is weak under and without sedation.</w:t>
      </w:r>
    </w:p>
    <w:bookmarkEnd w:id="21"/>
    <w:bookmarkStart w:id="22" w:name="sepsis-on-arrival-is-a-different-state"/>
    <w:p>
      <w:pPr>
        <w:pStyle w:val="Heading2"/>
      </w:pPr>
      <w:r>
        <w:t xml:space="preserve">3. Sepsis on arrival is a different state</w:t>
      </w:r>
    </w:p>
    <w:p>
      <w:pPr>
        <w:pStyle w:val="FirstParagraph"/>
      </w:pPr>
      <w:r>
        <w:t xml:space="preserve">Septic-on-arrival patients in ICU hours 1 to 6, against incident patients at onset to +6 h (C3): a strong shared excess of organ dysfunction (SOFA among measured +0.37 / +0.34; cardiovascular and renal components, FiO2 and shock index shared), lower systolic pressure and pulse pressure, lower pH and bicarbonate, lower oxygenation ratio, and a</w:t>
      </w:r>
      <w:r>
        <w:t xml:space="preserve"> </w:t>
      </w:r>
      <w:r>
        <w:rPr>
          <w:bCs/>
          <w:b/>
        </w:rPr>
        <w:t xml:space="preserve">lower</w:t>
      </w:r>
      <w:r>
        <w:t xml:space="preserve"> </w:t>
      </w:r>
      <w:r>
        <w:t xml:space="preserve">24-hour temperature maximum (−0.43 / −0.27). Early-ICU-onset patients show the same pattern against incident (C4), with the temperature difference again strong (−0.39 / −0.34). At the onset state 38 % (MIMIC-IV) and 25 % (eICU) of arrivals are on a vasopressor against 13 % and 5 % of incident patients; lactate at or above 2 mmol/L is present in 55 to 57 % of arrivals.</w:t>
      </w:r>
    </w:p>
    <w:p>
      <w:pPr>
        <w:pStyle w:val="BodyText"/>
      </w:pPr>
      <w:r>
        <w:t xml:space="preserve">So the patient who arrives septic has established, often resuscitated organ dysfunction, metabolic acidosis, lymphopenia (MIMIC-IV −0.40) and a cooler temperature than the ICU-acquired patient at onset, because fever has already been treated and, in MIMIC-IV, because these are ward patients two days into admission.</w:t>
      </w:r>
      <w:r>
        <w:t xml:space="preserve"> </w:t>
      </w:r>
      <w:r>
        <w:rPr>
          <w:bCs/>
          <w:b/>
        </w:rPr>
        <w:t xml:space="preserve">Training a warning model on arrivals teaches it what treated established sepsis looks like, not what impending sepsis looks like.</w:t>
      </w:r>
      <w:r>
        <w:t xml:space="preserve"> </w:t>
      </w:r>
      <w:r>
        <w:t xml:space="preserve">The all-comers cohort still has a purpose, but the evaluation must stay on incident patients, as the protocol already says, and the recognition pretraining should be judged on whether it helps the incident warning, not assumed to.</w:t>
      </w:r>
    </w:p>
    <w:bookmarkEnd w:id="22"/>
    <w:bookmarkStart w:id="23" w:name="deterioration"/>
    <w:p>
      <w:pPr>
        <w:pStyle w:val="Heading2"/>
      </w:pPr>
      <w:r>
        <w:t xml:space="preserve">4. Deterioration</w:t>
      </w:r>
    </w:p>
    <w:p>
      <w:pPr>
        <w:pStyle w:val="FirstParagraph"/>
      </w:pPr>
      <w:r>
        <w:rPr>
          <w:bCs/>
          <w:b/>
        </w:rPr>
        <w:t xml:space="preserve">Phenotypes at onset (k-means on all septic strata, pooled standardised onset state).</w:t>
      </w:r>
      <w:r>
        <w:t xml:space="preserve"> </w:t>
      </w:r>
      <w:r>
        <w:t xml:space="preserve">Cluster structure is weak (silhouette 0.08 at k = 4; 0.22 at k = 2) but one cluster is unmistakable and reproduces across databases (matched-centroid correlation 0.55): a lactate-and-vasopressor phenotype with median lactate 7.4 mmol/L, bicarbonate 17, GCS 10.5, creatinine 1.9, platelets 154 and a vasopressor dose of 0.2, carrying 63 % hospital mortality in both databases and an 86 to 90 % deteriorating course. It holds 8 to 10 % of septic stays and almost no incident patients (11 in MIMIC-IV, fewer than 11 in eICU). The other three clusters are a leucocytosis-high-platelet group (WBC 22, mortality 16 to 33 %), a febrile-tachycardic younger group (heart rate 106, 37.3 °C, age 58, mortality 18 to 24 %) and a quiet older group (heart rate 77, age 70, mortality 13 to 31 %). Incident patients fall mostly into the quiet and the febrile-tachycardic groups:</w:t>
      </w:r>
      <w:r>
        <w:t xml:space="preserve"> </w:t>
      </w:r>
      <w:r>
        <w:rPr>
          <w:bCs/>
          <w:b/>
        </w:rPr>
        <w:t xml:space="preserve">ICU-acquired sepsis at its operational onset rarely looks like shock.</w:t>
      </w:r>
      <w:r>
        <w:t xml:space="preserve"> </w:t>
      </w:r>
      <w:r>
        <w:t xml:space="preserve">The picture matches the SENECA phenotypes in shape, with the lactate-shock group as the δ-like cluster.</w:t>
      </w:r>
    </w:p>
    <w:p>
      <w:pPr>
        <w:pStyle w:val="BodyText"/>
      </w:pPr>
      <w:r>
        <w:rPr>
          <w:bCs/>
          <w:b/>
        </w:rPr>
        <w:t xml:space="preserve">Early separators of the course among arrivals (C8, hours 1 to 6; C10, onset to +6 h).</w:t>
      </w:r>
      <w:r>
        <w:t xml:space="preserve"> </w:t>
      </w:r>
      <w:r>
        <w:t xml:space="preserve">Shared in both databases: lactate (+0.59 / +0.26 at hours 1 to 6), anion gap, base excess and pH (acidosis), bilirubin, INR, transaminases and the liver component (the hepatic axis), FiO2 and respiratory rate, BUN and creatinine, a low albumin, and a lower haemoglobin and oxygen saturation. Temperature and the vasopressor dose do not separate the courses at this stage; urine output does in eICU only. Lactate</w:t>
      </w:r>
      <w:r>
        <w:t xml:space="preserve"> </w:t>
      </w:r>
      <w:r>
        <w:rPr>
          <w:iCs/>
          <w:i/>
        </w:rPr>
        <w:t xml:space="preserve">clearance</w:t>
      </w:r>
      <w:r>
        <w:t xml:space="preserve"> </w:t>
      </w:r>
      <w:r>
        <w:t xml:space="preserve">over the first six hours did not separate deteriorating from improving arrivals in MIMIC-IV (median clearance 7.5 % versus 7.1 %); the starting lactate did (4.2 versus 2.4 mmol/L).</w:t>
      </w:r>
    </w:p>
    <w:p>
      <w:pPr>
        <w:pStyle w:val="BodyText"/>
      </w:pPr>
      <w:r>
        <w:rPr>
          <w:bCs/>
          <w:b/>
        </w:rPr>
        <w:t xml:space="preserve">Before onset, among incident patients (C7, eICU only).</w:t>
      </w:r>
      <w:r>
        <w:t xml:space="preserve"> </w:t>
      </w:r>
      <w:r>
        <w:t xml:space="preserve">Deteriorating patients already show a higher respiratory rate (+0.43), heart rate (+0.23), BUN (+0.54) and creatinine (+0.35), a lower GCS (−0.61), oxygenation ratio (−0.45) and bicarbonate (−0.34), and a platelet fall from baseline (−0.23) in the 12 hours before onset. The compensation-state table says the same in both databases: deteriorating incident patients spend 57 to 69 % (eICU) of their pre-onset hours in the compensated state (tachycardia or tachypnoea with preserved pressure) and decompensate in the last 4 to 8 hours, while improving patients stay quiet half of the time. This supports the partner’s view that the deteriorating course carries the clearest pre-onset signature, with one caveat below.</w:t>
      </w:r>
    </w:p>
    <w:p>
      <w:pPr>
        <w:pStyle w:val="BodyText"/>
      </w:pPr>
      <w:r>
        <w:rPr>
          <w:bCs/>
          <w:b/>
        </w:rPr>
        <w:t xml:space="preserve">A tentative observation.</w:t>
      </w:r>
      <w:r>
        <w:t xml:space="preserve"> </w:t>
      </w:r>
      <w:r>
        <w:t xml:space="preserve">The within-stay heart-rate response per degree of temperature is 2.6 to 2.9 beats per degree in controls and 5.7 in early-onset patients, but 0.3 in incident patients in MIMIC-IV (14 stays with enough febrile variation). If it holds in the full cohort, ICU-acquired sepsis has a blunted chronotropic response to fever, which is the</w:t>
      </w:r>
      <w:r>
        <w:t xml:space="preserve"> </w:t>
      </w:r>
      <w:r>
        <w:t xml:space="preserve">“</w:t>
      </w:r>
      <w:r>
        <w:t xml:space="preserve">quiet second hit</w:t>
      </w:r>
      <w:r>
        <w:t xml:space="preserve">”</w:t>
      </w:r>
      <w:r>
        <w:t xml:space="preserve"> </w:t>
      </w:r>
      <w:r>
        <w:t xml:space="preserve">of the framework.</w:t>
      </w:r>
    </w:p>
    <w:bookmarkEnd w:id="23"/>
    <w:bookmarkStart w:id="24" w:name="where-the-run-fell-short"/>
    <w:p>
      <w:pPr>
        <w:pStyle w:val="Heading2"/>
      </w:pPr>
      <w:r>
        <w:t xml:space="preserve">5. Where the run fell short</w:t>
      </w:r>
    </w:p>
    <w:p>
      <w:pPr>
        <w:numPr>
          <w:ilvl w:val="0"/>
          <w:numId w:val="1002"/>
        </w:numPr>
        <w:pStyle w:val="Compact"/>
      </w:pPr>
      <w:r>
        <w:rPr>
          <w:bCs/>
          <w:b/>
        </w:rPr>
        <w:t xml:space="preserve">The course of incident patients could not be read beyond mortality.</w:t>
      </w:r>
      <w:r>
        <w:t xml:space="preserve"> </w:t>
      </w:r>
      <w:r>
        <w:t xml:space="preserve">The cohort feature sequences end shortly after the onset hour, so the paired SOFA at onset + 48 h is unavailable for incident stays: 72 % are</w:t>
      </w:r>
      <w:r>
        <w:t xml:space="preserve"> </w:t>
      </w:r>
      <w:r>
        <w:t xml:space="preserve">“</w:t>
      </w:r>
      <w:r>
        <w:t xml:space="preserve">indeterminate</w:t>
      </w:r>
      <w:r>
        <w:t xml:space="preserve">”</w:t>
      </w:r>
      <w:r>
        <w:t xml:space="preserve"> </w:t>
      </w:r>
      <w:r>
        <w:t xml:space="preserve">and the deteriorating fraction equals the mortality exactly. The arrival strata, built from the corpus with full 120-hour sequences, are unaffected. The raw-stage events do cover the whole stay, so the fix is to compute the 48-hour SOFA components for incident stays from the raw stage rather than from the shards. Until then, C7, C9 and C10 are read as mortality-based for incident patients, and</w:t>
      </w:r>
      <w:r>
        <w:t xml:space="preserve"> </w:t>
      </w:r>
      <w:r>
        <w:t xml:space="preserve">“</w:t>
      </w:r>
      <w:r>
        <w:t xml:space="preserve">improving</w:t>
      </w:r>
      <w:r>
        <w:t xml:space="preserve">”</w:t>
      </w:r>
      <w:r>
        <w:t xml:space="preserve"> </w:t>
      </w:r>
      <w:r>
        <w:t xml:space="preserve">incident patients in eICU are mostly those who left the ICU alive before 48 hours.</w:t>
      </w:r>
    </w:p>
    <w:p>
      <w:pPr>
        <w:numPr>
          <w:ilvl w:val="0"/>
          <w:numId w:val="1002"/>
        </w:numPr>
        <w:pStyle w:val="Compact"/>
      </w:pPr>
      <w:r>
        <w:rPr>
          <w:bCs/>
          <w:b/>
        </w:rPr>
        <w:t xml:space="preserve">C9 is partly circular.</w:t>
      </w:r>
      <w:r>
        <w:t xml:space="preserve"> </w:t>
      </w:r>
      <w:r>
        <w:t xml:space="preserve">The +24 to +48 h window overlaps the window in which the course is defined, so its long list of shared channels confirms the definition rather than discovering physiology. C8 and C10 are the honest early reads.</w:t>
      </w:r>
    </w:p>
    <w:p>
      <w:pPr>
        <w:numPr>
          <w:ilvl w:val="0"/>
          <w:numId w:val="1002"/>
        </w:numPr>
        <w:pStyle w:val="Compact"/>
      </w:pPr>
      <w:r>
        <w:rPr>
          <w:bCs/>
          <w:b/>
        </w:rPr>
        <w:t xml:space="preserve">Lactate, bands, fibrinogen, D-dimer, procalcitonin and CRP are too sparse before onset</w:t>
      </w:r>
      <w:r>
        <w:t xml:space="preserve"> </w:t>
      </w:r>
      <w:r>
        <w:t xml:space="preserve">for cross-database reads; eICU never records procalcitonin or D-dimer. Lactate is a pre-onset signal in eICU only because it is both higher and ordered 1.6 times more often there; in MIMIC-IV it is ordered no more often.</w:t>
      </w:r>
    </w:p>
    <w:p>
      <w:pPr>
        <w:numPr>
          <w:ilvl w:val="0"/>
          <w:numId w:val="1002"/>
        </w:numPr>
        <w:pStyle w:val="Compact"/>
      </w:pPr>
      <w:r>
        <w:rPr>
          <w:bCs/>
          <w:b/>
        </w:rPr>
        <w:t xml:space="preserve">The eICU arrival strata are a 39 % sample</w:t>
      </w:r>
      <w:r>
        <w:t xml:space="preserve"> </w:t>
      </w:r>
      <w:r>
        <w:t xml:space="preserve">of the candidates (corpus coverage), and the early-onset stratum there has 66 stays.</w:t>
      </w:r>
    </w:p>
    <w:p>
      <w:pPr>
        <w:numPr>
          <w:ilvl w:val="0"/>
          <w:numId w:val="1002"/>
        </w:numPr>
        <w:pStyle w:val="Compact"/>
      </w:pPr>
      <w:r>
        <w:rPr>
          <w:bCs/>
          <w:b/>
        </w:rPr>
        <w:t xml:space="preserve">Reading the shards from Drive took 75 minutes</w:t>
      </w:r>
      <w:r>
        <w:t xml:space="preserve">; the hourly tables should be cached so that the course fix does not repeat it.</w:t>
      </w:r>
    </w:p>
    <w:bookmarkEnd w:id="24"/>
    <w:bookmarkStart w:id="25" w:name="Xe1c2a432b8b458d94d3c5f4c55e1dc3a2a73b33"/>
    <w:p>
      <w:pPr>
        <w:pStyle w:val="Heading2"/>
      </w:pPr>
      <w:r>
        <w:t xml:space="preserve">6. Hypothesis scorecard (sign tests; full table in</w:t>
      </w:r>
      <w:r>
        <w:t xml:space="preserve"> </w:t>
      </w:r>
      <w:r>
        <w:rPr>
          <w:rStyle w:val="VerbatimChar"/>
        </w:rPr>
        <w:t xml:space="preserve">hypothesis_results.csv</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Supported in both databases</w:t>
            </w:r>
          </w:p>
        </w:tc>
        <w:tc>
          <w:tcPr/>
          <w:p>
            <w:pPr>
              <w:pStyle w:val="Compact"/>
              <w:jc w:val="left"/>
            </w:pPr>
            <w:r>
              <w:t xml:space="preserve">Supported in one</w:t>
            </w:r>
          </w:p>
        </w:tc>
        <w:tc>
          <w:tcPr/>
          <w:p>
            <w:pPr>
              <w:pStyle w:val="Compact"/>
              <w:jc w:val="left"/>
            </w:pPr>
            <w:r>
              <w:t xml:space="preserve">Not supported before onset</w:t>
            </w:r>
          </w:p>
        </w:tc>
      </w:tr>
      <w:tr>
        <w:tc>
          <w:tcPr/>
          <w:p>
            <w:pPr>
              <w:pStyle w:val="Compact"/>
              <w:jc w:val="left"/>
            </w:pPr>
            <w:r>
              <w:t xml:space="preserve">H1 tachypnoea (value, not slope)</w:t>
            </w:r>
          </w:p>
        </w:tc>
        <w:tc>
          <w:tcPr/>
          <w:p>
            <w:pPr>
              <w:pStyle w:val="Compact"/>
              <w:jc w:val="left"/>
            </w:pPr>
            <w:r>
              <w:t xml:space="preserve">H2 heart rate and shock index (eICU)</w:t>
            </w:r>
          </w:p>
        </w:tc>
        <w:tc>
          <w:tcPr/>
          <w:p>
            <w:pPr>
              <w:pStyle w:val="Compact"/>
              <w:jc w:val="left"/>
            </w:pPr>
            <w:r>
              <w:t xml:space="preserve">H2 diastolic pressure, pulse pressure, MAP</w:t>
            </w:r>
          </w:p>
        </w:tc>
      </w:tr>
      <w:tr>
        <w:tc>
          <w:tcPr/>
          <w:p>
            <w:pPr>
              <w:pStyle w:val="Compact"/>
              <w:jc w:val="left"/>
            </w:pPr>
            <w:r>
              <w:t xml:space="preserve">H9 lymphopenia and NLR</w:t>
            </w:r>
          </w:p>
        </w:tc>
        <w:tc>
          <w:tcPr/>
          <w:p>
            <w:pPr>
              <w:pStyle w:val="Compact"/>
              <w:jc w:val="left"/>
            </w:pPr>
            <w:r>
              <w:t xml:space="preserve">H4 FiO2 and oxygenation ratio (eICU)</w:t>
            </w:r>
          </w:p>
        </w:tc>
        <w:tc>
          <w:tcPr/>
          <w:p>
            <w:pPr>
              <w:pStyle w:val="Compact"/>
              <w:jc w:val="left"/>
            </w:pPr>
            <w:r>
              <w:t xml:space="preserve">H6 creatinine and BUN</w:t>
            </w:r>
          </w:p>
        </w:tc>
      </w:tr>
      <w:tr>
        <w:tc>
          <w:tcPr/>
          <w:p>
            <w:pPr>
              <w:pStyle w:val="Compact"/>
              <w:jc w:val="left"/>
            </w:pPr>
            <w:r>
              <w:t xml:space="preserve">H12 albumin</w:t>
            </w:r>
          </w:p>
        </w:tc>
        <w:tc>
          <w:tcPr/>
          <w:p>
            <w:pPr>
              <w:pStyle w:val="Compact"/>
              <w:jc w:val="left"/>
            </w:pPr>
            <w:r>
              <w:t xml:space="preserve">H5 urine output (MIMIC-IV)</w:t>
            </w:r>
          </w:p>
        </w:tc>
        <w:tc>
          <w:tcPr/>
          <w:p>
            <w:pPr>
              <w:pStyle w:val="Compact"/>
              <w:jc w:val="left"/>
            </w:pPr>
            <w:r>
              <w:t xml:space="preserve">H7 platelets (higher, not lower)</w:t>
            </w:r>
          </w:p>
        </w:tc>
      </w:tr>
      <w:tr>
        <w:tc>
          <w:tcPr/>
          <w:p>
            <w:pPr>
              <w:pStyle w:val="Compact"/>
              <w:jc w:val="left"/>
            </w:pPr>
            <w:r>
              <w:t xml:space="preserve">H3 fever (hypothermia marks the course instead)</w:t>
            </w:r>
          </w:p>
        </w:tc>
        <w:tc>
          <w:tcPr/>
          <w:p>
            <w:pPr>
              <w:pStyle w:val="Compact"/>
              <w:jc w:val="left"/>
            </w:pPr>
            <w:r>
              <w:t xml:space="preserve">H8 lactate (eICU)</w:t>
            </w:r>
          </w:p>
        </w:tc>
        <w:tc>
          <w:tcPr/>
          <w:p>
            <w:pPr>
              <w:pStyle w:val="Compact"/>
              <w:jc w:val="left"/>
            </w:pPr>
            <w:r>
              <w:t xml:space="preserve">H10 glucose; H11 acid-base; H12 bilirubin</w:t>
            </w:r>
          </w:p>
        </w:tc>
      </w:tr>
      <w:tr>
        <w:tc>
          <w:tcPr/>
          <w:p>
            <w:pPr>
              <w:pStyle w:val="Compact"/>
              <w:jc w:val="left"/>
            </w:pPr>
            <w:r>
              <w:t xml:space="preserve">H16 baseline differences (6 shared channels)</w:t>
            </w:r>
          </w:p>
        </w:tc>
        <w:tc>
          <w:tcPr/>
          <w:p>
            <w:pPr>
              <w:pStyle w:val="Compact"/>
              <w:jc w:val="left"/>
            </w:pPr>
            <w:r>
              <w:t xml:space="preserve">H17 lactate and vasopressor (MIMIC-IV)</w:t>
            </w:r>
          </w:p>
        </w:tc>
        <w:tc>
          <w:tcPr/>
          <w:p>
            <w:pPr>
              <w:pStyle w:val="Compact"/>
              <w:jc w:val="left"/>
            </w:pPr>
            <w:r>
              <w:t xml:space="preserve">H13 GCS; H14 heart-rate variability</w:t>
            </w:r>
          </w:p>
        </w:tc>
      </w:tr>
      <w:tr>
        <w:tc>
          <w:tcPr/>
          <w:p>
            <w:pPr>
              <w:pStyle w:val="Compact"/>
              <w:jc w:val="left"/>
            </w:pPr>
            <w:r>
              <w:t xml:space="preserve">H20 lactate at onset; H23 slow channels at 24 to 48 h (circular)</w:t>
            </w:r>
          </w:p>
        </w:tc>
        <w:tc>
          <w:tcPr/>
          <w:p>
            <w:pPr>
              <w:pStyle w:val="Compact"/>
              <w:jc w:val="left"/>
            </w:pPr>
            <w:r>
              <w:t xml:space="preserve">H18 temperature minimum (eICU); H21 (eICU)</w:t>
            </w:r>
          </w:p>
        </w:tc>
        <w:tc>
          <w:tcPr/>
          <w:p>
            <w:pPr>
              <w:pStyle w:val="Compact"/>
              <w:jc w:val="left"/>
            </w:pPr>
            <w:r>
              <w:t xml:space="preserve">H9 white-cell count; H15 routine labs ordered no more often</w:t>
            </w:r>
          </w:p>
        </w:tc>
      </w:tr>
    </w:tbl>
    <w:p>
      <w:pPr>
        <w:pStyle w:val="BodyText"/>
      </w:pPr>
      <w:r>
        <w:t xml:space="preserve">The framework’s expectation that the earliest signs are respiratory and cardiovascular is right for the respiratory rate and, in eICU, the heart rate; its expectation of early coagulation (platelets) and renal (creatinine) changes before onset is wrong at this horizon; its expectation that the arrival group is more febrile is the opposite of what the data show, for the reason given in section 3.</w:t>
      </w:r>
    </w:p>
    <w:bookmarkEnd w:id="25"/>
    <w:bookmarkStart w:id="26" w:name="X19af82fd88f2cfe73f8905f2d645af4c8986810"/>
    <w:p>
      <w:pPr>
        <w:pStyle w:val="Heading2"/>
      </w:pPr>
      <w:r>
        <w:t xml:space="preserve">7. What this means for the model (proposals, nothing applied)</w:t>
      </w:r>
    </w:p>
    <w:p>
      <w:pPr>
        <w:numPr>
          <w:ilvl w:val="0"/>
          <w:numId w:val="1003"/>
        </w:numPr>
        <w:pStyle w:val="Compact"/>
      </w:pPr>
      <w:r>
        <w:rPr>
          <w:bCs/>
          <w:b/>
        </w:rPr>
        <w:t xml:space="preserve">The shared pre-onset physiology set is small</w:t>
      </w:r>
      <w:r>
        <w:t xml:space="preserve">: albumin, heart rate, lymphocytes, neutrophil-to-lymphocyte ratio, PTT, respiratory rate, temperature and its 24-hour maximum, pH, qSOFA and NEWS2 among measured. With their masks and ages this is 31 predictor columns, the</w:t>
      </w:r>
      <w:r>
        <w:t xml:space="preserve"> </w:t>
      </w:r>
      <w:r>
        <w:t xml:space="preserve">“</w:t>
      </w:r>
      <w:r>
        <w:t xml:space="preserve">shared physiology</w:t>
      </w:r>
      <w:r>
        <w:t xml:space="preserve">”</w:t>
      </w:r>
      <w:r>
        <w:t xml:space="preserve"> </w:t>
      </w:r>
      <w:r>
        <w:t xml:space="preserve">arm of 10c.2. It should be run as planned, and the result read as a test of whether a model built only on what transfers can warn at all.</w:t>
      </w:r>
    </w:p>
    <w:p>
      <w:pPr>
        <w:numPr>
          <w:ilvl w:val="0"/>
          <w:numId w:val="1003"/>
        </w:numPr>
        <w:pStyle w:val="Compact"/>
      </w:pPr>
      <w:r>
        <w:rPr>
          <w:bCs/>
          <w:b/>
        </w:rPr>
        <w:t xml:space="preserve">Much of the warning is baseline risk.</w:t>
      </w:r>
      <w:r>
        <w:t xml:space="preserve"> </w:t>
      </w:r>
      <w:r>
        <w:t xml:space="preserve">A model that learns who is at risk from admission will look like an early-warning model on the hourly AUROC and will have a long nominal lead. The warning-time and alarm-policy metrics of stage 1b (persistence, fresh-only) are the right instruments; a prespecified comparison of</w:t>
      </w:r>
      <w:r>
        <w:t xml:space="preserve"> </w:t>
      </w:r>
      <w:r>
        <w:t xml:space="preserve">“</w:t>
      </w:r>
      <w:r>
        <w:t xml:space="preserve">features relative to the patient’s own baseline</w:t>
      </w:r>
      <w:r>
        <w:t xml:space="preserve">”</w:t>
      </w:r>
      <w:r>
        <w:t xml:space="preserve"> </w:t>
      </w:r>
      <w:r>
        <w:t xml:space="preserve">against absolute values would tell how much of the signal is change.</w:t>
      </w:r>
    </w:p>
    <w:p>
      <w:pPr>
        <w:numPr>
          <w:ilvl w:val="0"/>
          <w:numId w:val="1003"/>
        </w:numPr>
        <w:pStyle w:val="Compact"/>
      </w:pPr>
      <w:r>
        <w:rPr>
          <w:bCs/>
          <w:b/>
        </w:rPr>
        <w:t xml:space="preserve">The target deserves a second look.</w:t>
      </w:r>
      <w:r>
        <w:t xml:space="preserve"> </w:t>
      </w:r>
      <w:r>
        <w:t xml:space="preserve">The antibiotic precedes the operational onset by a median of 7 hours. Reporting lead time relative to the first antibiotic (already computed) beside lead time relative to onset should become a primary presentation, and a sensitivity target anchored on suspicion time is worth prespecifying.</w:t>
      </w:r>
    </w:p>
    <w:p>
      <w:pPr>
        <w:numPr>
          <w:ilvl w:val="0"/>
          <w:numId w:val="1003"/>
        </w:numPr>
        <w:pStyle w:val="Compact"/>
      </w:pPr>
      <w:r>
        <w:rPr>
          <w:bCs/>
          <w:b/>
        </w:rPr>
        <w:t xml:space="preserve">Deterioration as a secondary target is supported in principle</w:t>
      </w:r>
      <w:r>
        <w:t xml:space="preserve"> </w:t>
      </w:r>
      <w:r>
        <w:t xml:space="preserve">(reproducible lactate-shock phenotype; pre-onset compensation pattern in eICU) but cannot be prespecified for incident patients until the course fix in section 5 is made.</w:t>
      </w:r>
    </w:p>
    <w:p>
      <w:pPr>
        <w:numPr>
          <w:ilvl w:val="0"/>
          <w:numId w:val="1003"/>
        </w:numPr>
        <w:pStyle w:val="Compact"/>
      </w:pPr>
      <w:r>
        <w:rPr>
          <w:bCs/>
          <w:b/>
        </w:rPr>
        <w:t xml:space="preserve">Arrival stays should enter training, if at all, as a recognition task</w:t>
      </w:r>
      <w:r>
        <w:t xml:space="preserve">, with evaluation on incident patients only; the all-comers evaluation should be reported stratified, as already written.</w:t>
      </w:r>
    </w:p>
    <w:p>
      <w:pPr>
        <w:numPr>
          <w:ilvl w:val="0"/>
          <w:numId w:val="1003"/>
        </w:numPr>
        <w:pStyle w:val="Compact"/>
      </w:pPr>
      <w:r>
        <w:rPr>
          <w:bCs/>
          <w:b/>
        </w:rPr>
        <w:t xml:space="preserve">Database-specific channels to flag in the protocol</w:t>
      </w:r>
      <w:r>
        <w:t xml:space="preserve">: anion gap and CRP (method), lactate and FiO2 (ordering practice), measurement rates and ages generally.</w:t>
      </w:r>
    </w:p>
    <w:bookmarkEnd w:id="26"/>
    <w:bookmarkStart w:id="27" w:name="proposed-next-steps-on-your-word"/>
    <w:p>
      <w:pPr>
        <w:pStyle w:val="Heading2"/>
      </w:pPr>
      <w:r>
        <w:t xml:space="preserve">8. Proposed next steps (on your word)</w:t>
      </w:r>
    </w:p>
    <w:p>
      <w:pPr>
        <w:numPr>
          <w:ilvl w:val="0"/>
          <w:numId w:val="1004"/>
        </w:numPr>
        <w:pStyle w:val="Compact"/>
      </w:pPr>
      <w:r>
        <w:t xml:space="preserve">Fix the incident course: read SOFA components at onset and onset + 48 h from the raw-stage events for the manifest’s incident stays; cache the hourly tables; rerun cells 7b onward (about 15 minutes without the shard reading).</w:t>
      </w:r>
    </w:p>
    <w:p>
      <w:pPr>
        <w:numPr>
          <w:ilvl w:val="0"/>
          <w:numId w:val="1004"/>
        </w:numPr>
        <w:pStyle w:val="Compact"/>
      </w:pPr>
      <w:r>
        <w:t xml:space="preserve">Repeat the course comparisons with incident patients properly classified and rewrite section 4 of this reading.</w:t>
      </w:r>
    </w:p>
    <w:p>
      <w:pPr>
        <w:numPr>
          <w:ilvl w:val="0"/>
          <w:numId w:val="1004"/>
        </w:numPr>
        <w:pStyle w:val="Compact"/>
      </w:pPr>
      <w:r>
        <w:t xml:space="preserve">Revise protocol section 10c with the approved definitions and record the study outcome (shared set, flagged channels, the antibiotic-lead finding) as the basis for the stage-2 predictor arms.</w:t>
      </w:r>
    </w:p>
    <w:p>
      <w:pPr>
        <w:numPr>
          <w:ilvl w:val="0"/>
          <w:numId w:val="1004"/>
        </w:numPr>
        <w:pStyle w:val="Compact"/>
      </w:pPr>
      <w:r>
        <w:t xml:space="preserve">Put two questions to the consultants: whether a warning after the first antibiotic has value, and which course definition they recognise.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data say about the disease: reading of the pathophysiology run (30 Oct 2026)</dc:title>
  <dc:creator/>
  <cp:keywords/>
  <dcterms:created xsi:type="dcterms:W3CDTF">2026-10-30T03:29:52Z</dcterms:created>
  <dcterms:modified xsi:type="dcterms:W3CDTF">2026-10-30T03:29:52Z</dcterms:modified>
</cp:coreProperties>
</file>

<file path=docProps/custom.xml><?xml version="1.0" encoding="utf-8"?>
<Properties xmlns="http://schemas.openxmlformats.org/officeDocument/2006/custom-properties" xmlns:vt="http://schemas.openxmlformats.org/officeDocument/2006/docPropsVTypes"/>
</file>