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Plain cross-entropy ranked first for OSTA, utility-weighted for SSL-CNN→OSTA, and temporal label smoothing last for both.</w:t>
            </w:r>
            <w:r>
              <w:t xml:space="preserve"> </w:t>
            </w:r>
            <w:r>
              <w:rPr>
                <w:bCs/>
                <w:b/>
              </w:rPr>
              <w:t xml:space="preserve">TO FREEZE:</w:t>
            </w:r>
            <w:r>
              <w:t xml:space="preserve"> </w:t>
            </w:r>
            <w:r>
              <w:t xml:space="preserve">the stage-2 loss, once eICU is complete</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pending (run in progress). The MIMIC-IV-trained models scored on eICU development patients gave utilities of −0.03 to +0.04, with intervals including zero.</w:t>
      </w:r>
    </w:p>
    <w:bookmarkEnd w:id="29"/>
    <w:bookmarkStart w:id="30" w:name="stage-2-full-cohort"/>
    <w:p>
      <w:pPr>
        <w:pStyle w:val="Heading2"/>
      </w:pPr>
      <w:r>
        <w:t xml:space="preserve">11. Stage 2, full cohort</w:t>
      </w:r>
    </w:p>
    <w:p>
      <w:pPr>
        <w:numPr>
          <w:ilvl w:val="0"/>
          <w:numId w:val="1040"/>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40"/>
        </w:numPr>
        <w:pStyle w:val="Compact"/>
      </w:pPr>
      <w:r>
        <w:rPr>
          <w:bCs/>
          <w:b/>
        </w:rPr>
        <w:t xml:space="preserve">Arms (TO FREEZE):</w:t>
      </w:r>
    </w:p>
    <w:p>
      <w:pPr>
        <w:numPr>
          <w:ilvl w:val="1"/>
          <w:numId w:val="1041"/>
        </w:numPr>
        <w:pStyle w:val="Compact"/>
      </w:pPr>
      <w:r>
        <w:t xml:space="preserve">the union of the MIMIC-IV and eICU shortlists;</w:t>
      </w:r>
    </w:p>
    <w:p>
      <w:pPr>
        <w:numPr>
          <w:ilvl w:val="1"/>
          <w:numId w:val="1041"/>
        </w:numPr>
        <w:pStyle w:val="Compact"/>
      </w:pPr>
      <w:r>
        <w:t xml:space="preserve">OSTA, CNN–Transformer, boosted trees and logistic regression;</w:t>
      </w:r>
    </w:p>
    <w:p>
      <w:pPr>
        <w:numPr>
          <w:ilvl w:val="1"/>
          <w:numId w:val="1041"/>
        </w:numPr>
        <w:pStyle w:val="Compact"/>
      </w:pPr>
      <w:r>
        <w:t xml:space="preserve">signature boosted trees;</w:t>
      </w:r>
    </w:p>
    <w:p>
      <w:pPr>
        <w:numPr>
          <w:ilvl w:val="1"/>
          <w:numId w:val="1041"/>
        </w:numPr>
        <w:pStyle w:val="Compact"/>
      </w:pPr>
      <w:r>
        <w:t xml:space="preserve">the D1 pair, labelled exploratory.</w:t>
      </w:r>
    </w:p>
    <w:p>
      <w:pPr>
        <w:numPr>
          <w:ilvl w:val="0"/>
          <w:numId w:val="1040"/>
        </w:numPr>
        <w:pStyle w:val="Compact"/>
      </w:pPr>
      <w:r>
        <w:rPr>
          <w:bCs/>
          <w:b/>
        </w:rPr>
        <w:t xml:space="preserve">Loss (TO FREEZE):</w:t>
      </w:r>
      <w:r>
        <w:t xml:space="preserve"> </w:t>
      </w:r>
      <w:r>
        <w:t xml:space="preserve">decided by Section 10 across both databases.</w:t>
      </w:r>
    </w:p>
    <w:p>
      <w:pPr>
        <w:numPr>
          <w:ilvl w:val="0"/>
          <w:numId w:val="1040"/>
        </w:numPr>
        <w:pStyle w:val="Compact"/>
      </w:pPr>
      <w:r>
        <w:rPr>
          <w:bCs/>
          <w:b/>
        </w:rPr>
        <w:t xml:space="preserve">Pretraining corpus (TO FREEZE):</w:t>
      </w:r>
    </w:p>
    <w:p>
      <w:pPr>
        <w:numPr>
          <w:ilvl w:val="1"/>
          <w:numId w:val="1042"/>
        </w:numPr>
        <w:pStyle w:val="Compact"/>
      </w:pPr>
      <w:r>
        <w:t xml:space="preserve">non-cohort stays plus training-split stays (inputs only, no labels);</w:t>
      </w:r>
    </w:p>
    <w:p>
      <w:pPr>
        <w:numPr>
          <w:ilvl w:val="1"/>
          <w:numId w:val="1042"/>
        </w:numPr>
        <w:pStyle w:val="Compact"/>
      </w:pPr>
      <w:r>
        <w:t xml:space="preserve">excluding every stay of a validation, test or protected patient.</w:t>
      </w:r>
    </w:p>
    <w:p>
      <w:pPr>
        <w:numPr>
          <w:ilvl w:val="0"/>
          <w:numId w:val="1040"/>
        </w:numPr>
        <w:pStyle w:val="Compact"/>
      </w:pPr>
      <w:r>
        <w:rPr>
          <w:bCs/>
          <w:b/>
        </w:rPr>
        <w:t xml:space="preserve">Final-release encoder (TO FREEZE):</w:t>
      </w:r>
      <w:r>
        <w:t xml:space="preserve"> </w:t>
      </w:r>
      <w:r>
        <w:t xml:space="preserve">Section 5.3.</w:t>
      </w:r>
    </w:p>
    <w:p>
      <w:pPr>
        <w:numPr>
          <w:ilvl w:val="0"/>
          <w:numId w:val="1040"/>
        </w:numPr>
        <w:pStyle w:val="Compact"/>
      </w:pPr>
      <w:r>
        <w:rPr>
          <w:bCs/>
          <w:b/>
        </w:rPr>
        <w:t xml:space="preserve">eICU leave-hospital-out (TO FREEZE):</w:t>
      </w:r>
      <w:r>
        <w:t xml:space="preserve"> </w:t>
      </w:r>
      <w:r>
        <w:t xml:space="preserve">hospital grouping and the minimum events per hospital.</w:t>
      </w:r>
    </w:p>
    <w:p>
      <w:pPr>
        <w:numPr>
          <w:ilvl w:val="0"/>
          <w:numId w:val="1040"/>
        </w:numPr>
        <w:pStyle w:val="Compact"/>
      </w:pPr>
      <w:r>
        <w:rPr>
          <w:bCs/>
          <w:b/>
        </w:rPr>
        <w:t xml:space="preserve">Then:</w:t>
      </w:r>
    </w:p>
    <w:p>
      <w:pPr>
        <w:numPr>
          <w:ilvl w:val="1"/>
          <w:numId w:val="1043"/>
        </w:numPr>
        <w:pStyle w:val="Compact"/>
      </w:pPr>
      <w:r>
        <w:t xml:space="preserve">freeze this protocol (commit);</w:t>
      </w:r>
    </w:p>
    <w:p>
      <w:pPr>
        <w:numPr>
          <w:ilvl w:val="1"/>
          <w:numId w:val="1043"/>
        </w:numPr>
        <w:pStyle w:val="Compact"/>
      </w:pPr>
      <w:r>
        <w:t xml:space="preserve">declare</w:t>
      </w:r>
      <w:r>
        <w:t xml:space="preserve"> </w:t>
      </w:r>
      <w:r>
        <w:rPr>
          <w:rStyle w:val="VerbatimChar"/>
        </w:rPr>
        <w:t xml:space="preserve">PRIOR_TEST_EXPOSURE</w:t>
      </w:r>
      <w:r>
        <w:t xml:space="preserve">;</w:t>
      </w:r>
    </w:p>
    <w:p>
      <w:pPr>
        <w:numPr>
          <w:ilvl w:val="1"/>
          <w:numId w:val="1043"/>
        </w:numPr>
        <w:pStyle w:val="Compact"/>
      </w:pPr>
      <w:r>
        <w:t xml:space="preserve">open the holdout once;</w:t>
      </w:r>
    </w:p>
    <w:p>
      <w:pPr>
        <w:numPr>
          <w:ilvl w:val="1"/>
          <w:numId w:val="1043"/>
        </w:numPr>
        <w:pStyle w:val="Compact"/>
      </w:pPr>
      <w:r>
        <w:t xml:space="preserve">report every prespecified arm and analysis, whatever its result.</w:t>
      </w:r>
    </w:p>
    <w:p>
      <w:pPr>
        <w:numPr>
          <w:ilvl w:val="0"/>
          <w:numId w:val="1040"/>
        </w:numPr>
        <w:pStyle w:val="Compact"/>
      </w:pPr>
      <w:r>
        <w:rPr>
          <w:bCs/>
          <w:b/>
        </w:rPr>
        <w:t xml:space="preserve">Reporting standards:</w:t>
      </w:r>
      <w:r>
        <w:t xml:space="preserve"> </w:t>
      </w:r>
      <w:r>
        <w:t xml:space="preserve">TRIPOD+AI for reporting and PROBAST+AI for the risk-of-bias assessment.</w:t>
      </w:r>
    </w:p>
    <w:bookmarkEnd w:id="30"/>
    <w:bookmarkStart w:id="31" w:name="reproducibility"/>
    <w:p>
      <w:pPr>
        <w:pStyle w:val="Heading2"/>
      </w:pPr>
      <w:r>
        <w:t xml:space="preserve">12. Reproducibility</w:t>
      </w:r>
    </w:p>
    <w:p>
      <w:pPr>
        <w:numPr>
          <w:ilvl w:val="0"/>
          <w:numId w:val="1044"/>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44"/>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45"/>
        </w:numPr>
        <w:pStyle w:val="Compact"/>
      </w:pPr>
      <w:r>
        <w:t xml:space="preserve">A changed input produces a new key.</w:t>
      </w:r>
    </w:p>
    <w:p>
      <w:pPr>
        <w:numPr>
          <w:ilvl w:val="1"/>
          <w:numId w:val="1045"/>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45"/>
        </w:numPr>
        <w:pStyle w:val="Compact"/>
      </w:pPr>
      <w:r>
        <w:rPr>
          <w:rStyle w:val="VerbatimChar"/>
        </w:rPr>
        <w:t xml:space="preserve">FORCE_*</w:t>
      </w:r>
      <w:r>
        <w:t xml:space="preserve"> </w:t>
      </w:r>
      <w:r>
        <w:t xml:space="preserve">settings stay False.</w:t>
      </w:r>
    </w:p>
    <w:p>
      <w:pPr>
        <w:numPr>
          <w:ilvl w:val="0"/>
          <w:numId w:val="1044"/>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44"/>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44"/>
        </w:numPr>
        <w:pStyle w:val="Compact"/>
      </w:pPr>
      <w:r>
        <w:t xml:space="preserve">A synthetic fixture run of the whole notebook must pass before any notebook is released.</w:t>
      </w:r>
    </w:p>
    <w:p>
      <w:pPr>
        <w:numPr>
          <w:ilvl w:val="0"/>
          <w:numId w:val="1044"/>
        </w:numPr>
        <w:pStyle w:val="Compact"/>
      </w:pPr>
      <w:r>
        <w:t xml:space="preserve">Only one heavy notebook runs on the project Drive at a time.</w:t>
      </w:r>
    </w:p>
    <w:bookmarkEnd w:id="31"/>
    <w:bookmarkStart w:id="32"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46"/>
        </w:numPr>
        <w:pStyle w:val="Compact"/>
      </w:pPr>
      <w:r>
        <w:rPr>
          <w:bCs/>
          <w:b/>
        </w:rPr>
        <w:t xml:space="preserve">Original split:</w:t>
      </w:r>
      <w:r>
        <w:t xml:space="preserve"> </w:t>
      </w:r>
      <w:r>
        <w:t xml:space="preserve">17.5 % test and 12.5 % validation.</w:t>
      </w:r>
    </w:p>
    <w:p>
      <w:pPr>
        <w:numPr>
          <w:ilvl w:val="0"/>
          <w:numId w:val="1046"/>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46"/>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46"/>
        </w:numPr>
        <w:pStyle w:val="Compact"/>
      </w:pPr>
      <w:r>
        <w:rPr>
          <w:bCs/>
          <w:b/>
        </w:rPr>
        <w:t xml:space="preserve">Status:</w:t>
      </w:r>
      <w:r>
        <w:t xml:space="preserve"> </w:t>
      </w:r>
      <w:r>
        <w:t xml:space="preserve">not yet run on real data; it awaits the original model folders.</w:t>
      </w:r>
    </w:p>
    <w:bookmarkEnd w:id="32"/>
    <w:bookmarkStart w:id="36"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33"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33"/>
    <w:bookmarkStart w:id="34"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47"/>
        </w:numPr>
        <w:pStyle w:val="Compact"/>
      </w:pPr>
      <w:r>
        <w:t xml:space="preserve">OSTA;</w:t>
      </w:r>
    </w:p>
    <w:p>
      <w:pPr>
        <w:numPr>
          <w:ilvl w:val="0"/>
          <w:numId w:val="1047"/>
        </w:numPr>
        <w:pStyle w:val="Compact"/>
      </w:pPr>
      <w:r>
        <w:t xml:space="preserve">the observer bank, used in four ways:</w:t>
      </w:r>
    </w:p>
    <w:p>
      <w:pPr>
        <w:numPr>
          <w:ilvl w:val="1"/>
          <w:numId w:val="1048"/>
        </w:numPr>
        <w:pStyle w:val="Compact"/>
      </w:pPr>
      <w:r>
        <w:t xml:space="preserve">as extra inputs (observer features);</w:t>
      </w:r>
    </w:p>
    <w:p>
      <w:pPr>
        <w:numPr>
          <w:ilvl w:val="1"/>
          <w:numId w:val="1048"/>
        </w:numPr>
        <w:pStyle w:val="Compact"/>
      </w:pPr>
      <w:r>
        <w:t xml:space="preserve">added at the output (output fusion);</w:t>
      </w:r>
    </w:p>
    <w:p>
      <w:pPr>
        <w:numPr>
          <w:ilvl w:val="1"/>
          <w:numId w:val="1048"/>
        </w:numPr>
        <w:pStyle w:val="Compact"/>
      </w:pPr>
      <w:r>
        <w:t xml:space="preserve">steering OSTA’s cross-organ attention through learned gates (gated guidance);</w:t>
      </w:r>
    </w:p>
    <w:p>
      <w:pPr>
        <w:numPr>
          <w:ilvl w:val="1"/>
          <w:numId w:val="1048"/>
        </w:numPr>
        <w:pStyle w:val="Compact"/>
      </w:pPr>
      <w:r>
        <w:t xml:space="preserve">the same steering always on, as a control for the gate (ungated guidance);</w:t>
      </w:r>
    </w:p>
    <w:p>
      <w:pPr>
        <w:numPr>
          <w:ilvl w:val="0"/>
          <w:numId w:val="1047"/>
        </w:numPr>
        <w:pStyle w:val="Compact"/>
      </w:pPr>
      <w:r>
        <w:t xml:space="preserve">CNN–Transformer;</w:t>
      </w:r>
    </w:p>
    <w:p>
      <w:pPr>
        <w:numPr>
          <w:ilvl w:val="0"/>
          <w:numId w:val="1047"/>
        </w:numPr>
        <w:pStyle w:val="Compact"/>
      </w:pPr>
      <w:r>
        <w:t xml:space="preserve">L2 logistic regression;</w:t>
      </w:r>
    </w:p>
    <w:p>
      <w:pPr>
        <w:numPr>
          <w:ilvl w:val="0"/>
          <w:numId w:val="1047"/>
        </w:numPr>
        <w:pStyle w:val="Compact"/>
      </w:pPr>
      <w:r>
        <w:t xml:space="preserve">histogram gradient-boosted trees.</w:t>
      </w:r>
    </w:p>
    <w:p>
      <w:pPr>
        <w:pStyle w:val="FirstParagraph"/>
      </w:pPr>
      <w:r>
        <w:t xml:space="preserve">Controls:</w:t>
      </w:r>
    </w:p>
    <w:p>
      <w:pPr>
        <w:numPr>
          <w:ilvl w:val="0"/>
          <w:numId w:val="1049"/>
        </w:numPr>
        <w:pStyle w:val="Compact"/>
      </w:pPr>
      <w:r>
        <w:t xml:space="preserve">raw values only, to test whether feature engineering adds anything;</w:t>
      </w:r>
    </w:p>
    <w:p>
      <w:pPr>
        <w:numPr>
          <w:ilvl w:val="0"/>
          <w:numId w:val="1049"/>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34"/>
    <w:bookmarkStart w:id="35" w:name="stage-3-v11-this-protocol"/>
    <w:p>
      <w:pPr>
        <w:pStyle w:val="Heading3"/>
      </w:pPr>
      <w:r>
        <w:t xml:space="preserve">14.3 Stage 3: V11 (this protocol)</w:t>
      </w:r>
    </w:p>
    <w:p>
      <w:pPr>
        <w:pStyle w:val="FirstParagraph"/>
      </w:pPr>
      <w:r>
        <w:t xml:space="preserve">The findings of stage 2 shaped stage 3:</w:t>
      </w:r>
    </w:p>
    <w:p>
      <w:pPr>
        <w:numPr>
          <w:ilvl w:val="0"/>
          <w:numId w:val="1050"/>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0"/>
        </w:numPr>
        <w:pStyle w:val="Compact"/>
      </w:pPr>
      <w:r>
        <w:rPr>
          <w:bCs/>
          <w:b/>
        </w:rPr>
        <w:t xml:space="preserve">Models overfitted within a few epochs.</w:t>
      </w:r>
      <w:r>
        <w:t xml:space="preserve"> </w:t>
      </w:r>
      <w:r>
        <w:t xml:space="preserve">The response combines three things:</w:t>
      </w:r>
    </w:p>
    <w:p>
      <w:pPr>
        <w:numPr>
          <w:ilvl w:val="1"/>
          <w:numId w:val="1051"/>
        </w:numPr>
        <w:pStyle w:val="Compact"/>
      </w:pPr>
      <w:r>
        <w:t xml:space="preserve">testing the organ hypothesis directly (flat OSTA);</w:t>
      </w:r>
    </w:p>
    <w:p>
      <w:pPr>
        <w:numPr>
          <w:ilvl w:val="1"/>
          <w:numId w:val="1051"/>
        </w:numPr>
        <w:pStyle w:val="Compact"/>
      </w:pPr>
      <w:r>
        <w:t xml:space="preserve">adding models built for irregular ICU data (GRU-D, TCN, the winner’s method);</w:t>
      </w:r>
    </w:p>
    <w:p>
      <w:pPr>
        <w:numPr>
          <w:ilvl w:val="1"/>
          <w:numId w:val="1051"/>
        </w:numPr>
        <w:pStyle w:val="Compact"/>
      </w:pPr>
      <w:r>
        <w:t xml:space="preserve">using scarce labels better (self-supervised pretraining, per-channel encoders, event attention, the hazard head), with a loss aligned to the utility score.</w:t>
      </w:r>
    </w:p>
    <w:p>
      <w:pPr>
        <w:numPr>
          <w:ilvl w:val="0"/>
          <w:numId w:val="1050"/>
        </w:numPr>
        <w:pStyle w:val="Compact"/>
      </w:pPr>
      <w:r>
        <w:rPr>
          <w:bCs/>
          <w:b/>
        </w:rPr>
        <w:t xml:space="preserve">The original OSTA loss gave no gain.</w:t>
      </w:r>
      <w:r>
        <w:t xml:space="preserve"> </w:t>
      </w:r>
      <w:r>
        <w:t xml:space="preserve">It was retired.</w:t>
      </w:r>
    </w:p>
    <w:bookmarkEnd w:id="35"/>
    <w:bookmarkEnd w:id="36"/>
    <w:bookmarkStart w:id="37" w:name="X0296bd26dd3c8397ebfff3644d5772bc7e084f6"/>
    <w:p>
      <w:pPr>
        <w:pStyle w:val="Heading2"/>
      </w:pPr>
      <w:r>
        <w:t xml:space="preserve">15. Known code notes (no effect on stage-1 results; to correct before stage 2)</w:t>
      </w:r>
    </w:p>
    <w:p>
      <w:pPr>
        <w:numPr>
          <w:ilvl w:val="0"/>
          <w:numId w:val="1052"/>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2"/>
        </w:numPr>
        <w:pStyle w:val="Compact"/>
      </w:pPr>
      <w:r>
        <w:t xml:space="preserve">The secondary analysis notebook still names the V10 arm list.</w:t>
      </w:r>
    </w:p>
    <w:p>
      <w:pPr>
        <w:numPr>
          <w:ilvl w:val="0"/>
          <w:numId w:val="1052"/>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2026-10-19T11:35:34Z</dcterms:created>
  <dcterms:modified xsi:type="dcterms:W3CDTF">2026-10-19T11:35:34Z</dcterms:modified>
</cp:coreProperties>
</file>

<file path=docProps/custom.xml><?xml version="1.0" encoding="utf-8"?>
<Properties xmlns="http://schemas.openxmlformats.org/officeDocument/2006/custom-properties" xmlns:vt="http://schemas.openxmlformats.org/officeDocument/2006/docPropsVTypes"/>
</file>