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(655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655 predictors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(fairness analysis only);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655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from the prespecified comparison on the MIMIC-IV development test split of the 10,000-stay sample (one run). Every model was scored on identical hours with the official PhysioNet utility scorer. The sealed holdout has not been opened and nothing was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Models compared</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sixteen architectures, loss comparators (cross-entropy and time-to-onset weighted) and a mean ensemble</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21 models above zero, every 95 % CI above zero; range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0.23 (95 % CI 0.13 to 0.34)</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Winner's method rebuilt in this pipeline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0.15 (95 % CI 0.06 to 0.22)</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Highest point estimates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encoder with OSTA head 0.29 (0.17 to 0.39); CNN with OSTA head 0.28; mean ensemble 0.28</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 chosen by the validation rule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 0.19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0.08 (0.01 to 0.16)</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0.72 to 0.84 across models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On a database built from raw tables with every hour scored causally, every model keeps a positive utility, including the competition winner's own method, whereas the published winner fell below zero as soon as it left its training hospitals. The architectures differ more in point estimate than their overlapping intervals can support at this sample size. Transfer is the open problem: MIMIC-IV models scored on eICU development patients give utilities of -0.03 to 0.04 with intervals that include zero (hourly AUROC 0.58 to 0.68). eICU has the weaker antibiotic-only label and is the focus of the native eICU results (running at the time of writing), the full cohort, leave-hospital-out evaluation and label harmonisation.</w:t>
      </w:r>
    </w:p>
    <w:p>
      <w:pPr>
        <w:pStyle w:val="Heading2"/>
        <w:spacing w:after="120" w:before="240"/>
      </w:pPr>
      <w:r>
        <w:rPr>
          <w:rFonts w:ascii="Calibri" w:cs="Calibri" w:eastAsia="Calibri" w:hAnsi="Calibri"/>
        </w:rPr>
        <w:t xml:space="preserve">4.5 Overfitting and the prespecified decisions</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validation split is also too small to rank models reliably: OSTA and OSTA without organ grouping tie on test (0.23 each) but score 0.12 and 0.28 on validation, and the validation leaders (GRU-D 0.29, TCN 0.29) are mid-table on test.</w:t>
      </w:r>
    </w:p>
    <w:p>
      <w:pPr>
        <w:spacing w:after="120" w:before="0" w:line="276"/>
        <w:jc w:val="left"/>
      </w:pPr>
      <w:r>
        <w:rPr>
          <w:rFonts w:ascii="Calibri" w:cs="Calibri" w:eastAsia="Calibri" w:hAnsi="Calibri"/>
          <w:b w:val="false"/>
          <w:bCs w:val="false"/>
          <w:i w:val="false"/>
          <w:iCs w:val="false"/>
          <w:color w:val="000000"/>
          <w:sz w:val="22"/>
          <w:szCs w:val="22"/>
        </w:rPr>
        <w:t xml:space="preserve">The decision rules fixed before any result were applied on validation only. Organ structure is not supported at this sample size: OSTA did not beat its flat counterpart on validation, and this is reported as found. The loss comparison is undecided (cross-entropy ranked first for OSTA, the utility-weighted loss for the self-supervised model, the time-to-onset loss last for both). The shortlist for the full cohort is GRU-D, the temporal CNN and flat OSTA, plus the baselines and the winner's method. One declared deviation was recorded before the full-cohort run: the self-supervised CNN with an OSTA head had the highest test point estimate (0.29) without being chosen on validation, so it is added together with its flat twin as an exploratory pair, labelled as such, with the primary conclusions drawn from the rule-chosen models only; the pair also tests the organ question a second time at scale. The next lever is data: the full cohort has about nine times more sepsis cases and runs with three seeds.</w:t>
      </w:r>
    </w:p>
    <w:p>
      <w:pPr>
        <w:pStyle w:val="Heading2"/>
        <w:spacing w:after="120" w:before="240"/>
      </w:pPr>
      <w:r>
        <w:rPr>
          <w:rFonts w:ascii="Calibri" w:cs="Calibri" w:eastAsia="Calibri" w:hAnsi="Calibri"/>
        </w:rPr>
        <w:t xml:space="preserve">4.6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4.7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 the full cohort also gives a validation split large enough to rank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on identical MIMIC-IV hours, all 21 models compared, including the competition winner's own method, keep a positive utility, while transfer to a second hospital system remains the open problem. Three manuscripts were submitted. The next period scales the evaluation to the full cohort, opens the holdout once, brings in the clinicians who would receive the alarm, and prepares the prospective test on hospital patients that the whole programme points towards.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2026-10-19T07:11:00.579Z</dcterms:created>
  <dcterms:modified xsi:type="dcterms:W3CDTF">2026-10-19T07:11:00.587Z</dcterms:modified>
</cp:coreProperties>
</file>

<file path=docProps/custom.xml><?xml version="1.0" encoding="utf-8"?>
<Properties xmlns="http://schemas.openxmlformats.org/officeDocument/2006/custom-properties" xmlns:vt="http://schemas.openxmlformats.org/officeDocument/2006/docPropsVTypes"/>
</file>