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ورشة النجار برنت — برج التلي</w:t>
      </w:r>
    </w:p>
    <w:p>
      <w:pPr>
        <w:jc w:val="center"/>
      </w:pPr>
      <w:r>
        <w:rPr>
          <w:b/>
          <w:color w:val="8B0000"/>
          <w:sz w:val="30"/>
        </w:rPr>
        <w:t>نموذج جرد وإغلاق الشيفت (الخزنة والدرج النقدي)</w:t>
      </w:r>
    </w:p>
    <w:p>
      <w:pPr>
        <w:jc w:val="center"/>
      </w:pPr>
      <w:r>
        <w:rPr>
          <w:color w:val="666666"/>
          <w:sz w:val="20"/>
        </w:rPr>
        <w:t>أمين الصندوق والمخزن: صاصا (SASA) • بالربط مع CFO (فارس) • قواعد الخزينة سارية</w:t>
      </w:r>
    </w:p>
    <w:p/>
    <w:p>
      <w:pPr>
        <w:pStyle w:val="Heading2"/>
      </w:pPr>
      <w:r>
        <w:t>أولاً: بيانات الشيفت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البند</w:t>
            </w:r>
          </w:p>
        </w:tc>
        <w:tc>
          <w:tcPr>
            <w:tcW w:type="dxa" w:w="2493"/>
          </w:tcPr>
          <w:p>
            <w:r>
              <w:rPr>
                <w:b/>
              </w:rPr>
              <w:t>القيمة</w:t>
            </w:r>
          </w:p>
        </w:tc>
        <w:tc>
          <w:tcPr>
            <w:tcW w:type="dxa" w:w="2493"/>
          </w:tcPr>
          <w:p>
            <w:r>
              <w:rPr>
                <w:b/>
              </w:rPr>
              <w:t>البند</w:t>
            </w:r>
          </w:p>
        </w:tc>
        <w:tc>
          <w:tcPr>
            <w:tcW w:type="dxa" w:w="2493"/>
          </w:tcPr>
          <w:p>
            <w:r>
              <w:rPr>
                <w:b/>
              </w:rPr>
              <w:t>القيمة</w:t>
            </w:r>
          </w:p>
        </w:tc>
      </w:tr>
      <w:tr>
        <w:tc>
          <w:tcPr>
            <w:tcW w:type="dxa" w:w="2493"/>
          </w:tcPr>
          <w:p>
            <w:r>
              <w:t>رقم الشيفت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r>
              <w:t>تاريخ الفتح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2026-06-02 00:00:36</w:t>
            </w:r>
          </w:p>
        </w:tc>
      </w:tr>
      <w:tr>
        <w:tc>
          <w:tcPr>
            <w:tcW w:type="dxa" w:w="2493"/>
          </w:tcPr>
          <w:p>
            <w:r>
              <w:t>الحالة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مفتوح / معلّق (open)</w:t>
            </w:r>
          </w:p>
        </w:tc>
        <w:tc>
          <w:tcPr>
            <w:tcW w:type="dxa" w:w="2493"/>
          </w:tcPr>
          <w:p>
            <w:r>
              <w:t>تاريخ الإغلاق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2493"/>
          </w:tcPr>
          <w:p>
            <w:r>
              <w:t>المسؤول عن الإغلاق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صاصا (سجل الخزنة)</w:t>
            </w:r>
          </w:p>
        </w:tc>
        <w:tc>
          <w:tcPr>
            <w:tcW w:type="dxa" w:w="2493"/>
          </w:tcPr>
          <w:p>
            <w:r>
              <w:t>التوقيع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2493"/>
          </w:tcPr>
          <w:p>
            <w:r>
              <w:t>الشاهد (CFO/فارس)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______</w:t>
            </w:r>
          </w:p>
        </w:tc>
        <w:tc>
          <w:tcPr>
            <w:tcW w:type="dxa" w:w="2493"/>
          </w:tcPr>
          <w:p>
            <w:r>
              <w:t>التوقيع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2493"/>
          </w:tcPr>
          <w:p>
            <w:r>
              <w:t>المالك (النوافذ)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______</w:t>
            </w:r>
          </w:p>
        </w:tc>
        <w:tc>
          <w:tcPr>
            <w:tcW w:type="dxa" w:w="2493"/>
          </w:tcPr>
          <w:p>
            <w:r>
              <w:t>التوقيع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______</w:t>
            </w:r>
          </w:p>
        </w:tc>
      </w:tr>
    </w:tbl>
    <w:p/>
    <w:p>
      <w:pPr>
        <w:pStyle w:val="Heading2"/>
      </w:pPr>
      <w:r>
        <w:t>ثانياً: جرد الدرج النقدي (عدد وكمية الفئات)</w:t>
      </w:r>
    </w:p>
    <w:p>
      <w:r>
        <w:rPr>
          <w:sz w:val="20"/>
        </w:rPr>
        <w:t>يُملأ بعد العَدّ اليدوي للدرج — كل فئة تُسجَّل ثم يُجمع المبلغ.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الفئة</w:t>
            </w:r>
          </w:p>
        </w:tc>
        <w:tc>
          <w:tcPr>
            <w:tcW w:type="dxa" w:w="1994"/>
          </w:tcPr>
          <w:p>
            <w:r>
              <w:t>العدد</w:t>
            </w:r>
          </w:p>
        </w:tc>
        <w:tc>
          <w:tcPr>
            <w:tcW w:type="dxa" w:w="1994"/>
          </w:tcPr>
          <w:p>
            <w:r>
              <w:t>الإجمالي</w:t>
            </w:r>
          </w:p>
        </w:tc>
        <w:tc>
          <w:tcPr>
            <w:tcW w:type="dxa" w:w="1994"/>
          </w:tcPr>
          <w:p>
            <w:r>
              <w:t>الفئة</w:t>
            </w:r>
          </w:p>
        </w:tc>
        <w:tc>
          <w:tcPr>
            <w:tcW w:type="dxa" w:w="1994"/>
          </w:tcPr>
          <w:p>
            <w:r>
              <w:t>الإجمالي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t>500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t>200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pPr>
              <w:jc w:val="center"/>
            </w:pPr>
            <w:r>
              <w:t>200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t>100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pPr>
              <w:jc w:val="center"/>
            </w:pPr>
            <w:r>
              <w:t>100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t>50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pPr>
              <w:jc w:val="center"/>
            </w:pPr>
            <w:r>
              <w:t>100 ج — ورقة جديدة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t>20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pPr>
              <w:jc w:val="center"/>
            </w:pPr>
            <w:r>
              <w:t>50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t>10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pPr>
              <w:jc w:val="center"/>
            </w:pPr>
            <w:r>
              <w:t>20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t>5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pPr>
              <w:jc w:val="center"/>
            </w:pPr>
            <w:r>
              <w:t>10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t>1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pPr>
              <w:jc w:val="center"/>
            </w:pPr>
            <w:r>
              <w:t>5 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t>عملات معدنية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pPr>
              <w:jc w:val="center"/>
            </w:pPr>
            <w:r>
              <w:t>إجمالي نقدي بالدرج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>
      <w:pPr>
        <w:pStyle w:val="Heading2"/>
      </w:pPr>
      <w:r>
        <w:t>ثالثاً: مطابقة الأرقام الحية (مصدر الحقيقة: pos_data.db)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البند</w:t>
            </w:r>
          </w:p>
        </w:tc>
        <w:tc>
          <w:tcPr>
            <w:tcW w:type="dxa" w:w="3324"/>
          </w:tcPr>
          <w:p>
            <w:r>
              <w:rPr>
                <w:b/>
              </w:rPr>
              <w:t>قيمة القاعدة الحية</w:t>
            </w:r>
          </w:p>
        </w:tc>
        <w:tc>
          <w:tcPr>
            <w:tcW w:type="dxa" w:w="3324"/>
          </w:tcPr>
          <w:p>
            <w:r>
              <w:rPr>
                <w:b/>
              </w:rPr>
              <w:t>المعدود يدوياً</w:t>
            </w:r>
          </w:p>
        </w:tc>
      </w:tr>
      <w:tr>
        <w:tc>
          <w:tcPr>
            <w:tcW w:type="dxa" w:w="3324"/>
          </w:tcPr>
          <w:p>
            <w:r>
              <w:t>إجمالي الآجل (أرصدة العملاء الموجبة)</w:t>
            </w:r>
          </w:p>
        </w:tc>
        <w:tc>
          <w:tcPr>
            <w:tcW w:type="dxa" w:w="3324"/>
          </w:tcPr>
          <w:p>
            <w:r>
              <w:t>1,040 ج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إجمالي المعلّق (طلبات تحت التجهيز)</w:t>
            </w:r>
          </w:p>
        </w:tc>
        <w:tc>
          <w:tcPr>
            <w:tcW w:type="dxa" w:w="3324"/>
          </w:tcPr>
          <w:p>
            <w:r>
              <w:t>2,115 ج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إجمالي الآجل + المعلّق (المستحقات)</w:t>
            </w:r>
          </w:p>
        </w:tc>
        <w:tc>
          <w:tcPr>
            <w:tcW w:type="dxa" w:w="3324"/>
          </w:tcPr>
          <w:p>
            <w:r>
              <w:t>3,155 ج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النقد المتاح بالدرج (يُحسب من الجدول السابق)</w:t>
            </w:r>
          </w:p>
        </w:tc>
        <w:tc>
          <w:tcPr>
            <w:tcW w:type="dxa" w:w="3324"/>
          </w:tcPr>
          <w:p>
            <w:r>
              <w:t>______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المصروفات (Expense)</w:t>
            </w:r>
          </w:p>
        </w:tc>
        <w:tc>
          <w:tcPr>
            <w:tcW w:type="dxa" w:w="3324"/>
          </w:tcPr>
          <w:p>
            <w:r>
              <w:t>4,995 ج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الدخل (Income + Payment)</w:t>
            </w:r>
          </w:p>
        </w:tc>
        <w:tc>
          <w:tcPr>
            <w:tcW w:type="dxa" w:w="3324"/>
          </w:tcPr>
          <w:p>
            <w:r>
              <w:t>15,630 ج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</w:tbl>
    <w:p/>
    <w:p>
      <w:r>
        <w:rPr>
          <w:sz w:val="18"/>
        </w:rPr>
        <w:t>ملاحظة: المعلّق (2,115) = 6 طلبات «تحت التجهيز» (Under Preparation) من قاعدة order_pos. الآجل (1,040) = مجموع أرصدة العملاء الموجبة (زينب 240 + عميل 350 + اسراء هلال 250 + عميل 200). الأرقام مرتبطة بشيفت مفتوح منذ 2026-06-02 00:00:36 — لم يُغلق بعد.</w:t>
      </w:r>
    </w:p>
    <w:p/>
    <w:p>
      <w:pPr>
        <w:pStyle w:val="Heading2"/>
      </w:pPr>
      <w:r>
        <w:t>رابعاً: تسوية الخزنة البنود الواجب تصفيتها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#</w:t>
            </w:r>
          </w:p>
        </w:tc>
        <w:tc>
          <w:tcPr>
            <w:tcW w:type="dxa" w:w="3324"/>
          </w:tcPr>
          <w:p>
            <w:r>
              <w:rPr>
                <w:b/>
              </w:rPr>
              <w:t>بيان السحب / البند</w:t>
            </w:r>
          </w:p>
        </w:tc>
        <w:tc>
          <w:tcPr>
            <w:tcW w:type="dxa" w:w="3324"/>
          </w:tcPr>
          <w:p>
            <w:r>
              <w:rPr>
                <w:b/>
              </w:rPr>
              <w:t>المبلغ (ج)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سحب آجل من درج النقدية للخزنة الرئيسية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مصروفات الشيفت المستحقة (المسجّلة أو المعلّقة)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مبالغ أقساط العملاء المتأخرة (آجل)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مبالغ طلبات تحت التجهيز المستلمة مقدماً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تسوية النقد بالمصروف المعلن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أي فروقات درج (عجز / زيادة)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إجمالي تصفية الخزنة النهائي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______</w:t>
            </w:r>
          </w:p>
        </w:tc>
      </w:tr>
    </w:tbl>
    <w:p/>
    <w:p>
      <w:pPr>
        <w:pStyle w:val="Heading2"/>
      </w:pPr>
      <w:r>
        <w:t>خامساً: ما بعد الإغلاق — شيفتات يومية نظيفة</w:t>
      </w:r>
    </w:p>
    <w:p>
      <w:r>
        <w:t>• إغلاق الشيفت الحالي (المفتوح منذ 06-02) في قاعدة pos_data.db — بموافقة المالك.</w:t>
      </w:r>
    </w:p>
    <w:p>
      <w:r>
        <w:t>• فتح شيفت جديد نظيف يوميًا لكل يوم عمل فعلي.</w:t>
      </w:r>
    </w:p>
    <w:p>
      <w:r>
        <w:t>• تحويل النقد المُصفّى إلى الخزنة الرئيسية وتسليمه للمالك أو CFO.</w:t>
      </w:r>
    </w:p>
    <w:p>
      <w:r>
        <w:t>• تحديث FARES_CFO_STATE.md بأرقام التسوية لإغلاق الحلقة بين الورشة واللابتوب.</w:t>
      </w:r>
    </w:p>
    <w:p/>
    <w:p>
      <w:pPr>
        <w:jc w:val="center"/>
      </w:pPr>
      <w:r>
        <w:rPr>
          <w:color w:val="888888"/>
          <w:sz w:val="18"/>
        </w:rPr>
        <w:t>— نموذج جاهز للاستخدام — طباعة والبدء بالجرد اليدوي —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