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Type de branchement</w:t>
            </w:r>
          </w:p>
        </w:tc>
        <w:tc>
          <w:p>
            <w:r>
              <w:rPr>
                <w:color w:val="1F4E9A"/>
              </w:rPr>
              <w:t xml:space="preserve">{sizingBranchement}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souscrite</w:t>
            </w:r>
          </w:p>
        </w:tc>
        <w:tc>
          <w:p>
            <w:r>
              <w:rPr>
                <w:color w:val="1F4E9A"/>
              </w:rPr>
              <w:t xml:space="preserve">{sizingSubscribedPower}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Consommation de référence</w:t>
            </w:r>
          </w:p>
        </w:tc>
        <w:tc>
          <w:p>
            <w:r>
              <w:rPr>
                <w:color w:val="1F4E9A"/>
              </w:rPr>
              <w:t xml:space="preserve">{sizingConsumption}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installée (kWc)</w:t>
            </w:r>
          </w:p>
        </w:tc>
        <w:tc>
          <w:p>
            <w:r>
              <w:rPr>
                <w:color w:val="1F4E9A"/>
              </w:rPr>
              <w:t xml:space="preserve">{sizingInstalledKWp}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AC de l'onduleur (kW)</w:t>
            </w:r>
          </w:p>
        </w:tc>
        <w:tc>
          <w:p>
            <w:r>
              <w:rPr>
                <w:color w:val="1F4E9A"/>
              </w:rPr>
              <w:t xml:space="preserve">{sizingInverterPac}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Rapport DC/AC</w:t>
            </w:r>
          </w:p>
        </w:tc>
        <w:tc>
          <w:p>
            <w:r>
              <w:rPr>
                <w:color w:val="1F4E9A"/>
              </w:rPr>
              <w:t xml:space="preserve">{sizingDcAcRatio}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Règle de dimensionnement</w:t>
            </w:r>
          </w:p>
        </w:tc>
        <w:tc>
          <w:p>
            <w:r>
              <w:rPr>
                <w:color w:val="1F4E9A"/>
              </w:rPr>
              <w:t xml:space="preserve">{sizingRule}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Production annuelle estimée (kWh/an)</w:t>
            </w:r>
          </w:p>
        </w:tc>
        <w:tc>
          <w:p>
            <w:r>
              <w:rPr>
                <w:color w:val="1F4E9A"/>
              </w:rPr>
              <w:t xml:space="preserve">{productionAnnual}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Productible spécifique (kWh/kWc/an)</w:t>
            </w:r>
          </w:p>
        </w:tc>
        <w:tc>
          <w:p>
            <w:r>
              <w:rPr>
                <w:color w:val="1F4E9A"/>
              </w:rPr>
              <w:t xml:space="preserve">{productionSpecificYield}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Indice de performance (PR)</w:t>
            </w:r>
          </w:p>
        </w:tc>
        <w:tc>
          <w:p>
            <w:r>
              <w:rPr>
                <w:color w:val="1F4E9A"/>
              </w:rPr>
              <w:t xml:space="preserve">{productionPr}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Taux de couverture de la consommation</w:t>
            </w:r>
          </w:p>
        </w:tc>
        <w:tc>
          <w:p>
            <w:r>
              <w:rPr>
                <w:color w:val="1F4E9A"/>
              </w:rPr>
              <w:t xml:space="preserve">{productionCoverage}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Méthode</w:t>
            </w:r>
          </w:p>
        </w:tc>
        <w:tc>
          <w:p>
            <w:r>
              <w:rPr>
                <w:color w:val="1F4E9A"/>
              </w:rP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Mois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Irradiation dans le plan (kWh/m²)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Production (kWh)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{#productionMonths}{monthLabel}</w:t>
            </w:r>
          </w:p>
        </w:tc>
        <w:tc>
          <w:p>
            <w:r>
              <w:rPr>
                <w:color w:val="1F4E9A"/>
              </w:rPr>
              <w:t xml:space="preserve">{globInc}</w:t>
            </w:r>
          </w:p>
        </w:tc>
        <w:tc>
          <w:p>
            <w:r>
              <w:rPr>
                <w:color w:val="1F4E9A"/>
              </w:rPr>
              <w:t xml:space="preserve">{eGrid}</w:t>
            </w:r>
          </w:p>
        </w:tc>
        <w:tc>
          <w:p>
            <w:r>
              <w:rPr>
                <w:color w:val="1F4E9A"/>
              </w:rPr>
              <w:t xml:space="preserve">{pr}{/productionMonths}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color w:val="1F4E9A"/>
              </w:rPr>
              <w:t xml:space="preserve">{productionTotalGlobInc}</w:t>
            </w:r>
          </w:p>
        </w:tc>
        <w:tc>
          <w:p>
            <w:r>
              <w:rPr>
                <w:color w:val="1F4E9A"/>
              </w:rPr>
              <w:t xml:space="preserve">{productionTotalEGrid}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</w:t>
      </w:r>
      <w:r>
        <w:rPr>
          <w:color w:val="1F4E9A"/>
        </w:rPr>
        <w:t xml:space="preserve">{moduleBrandModel}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(Wc)</w:t>
            </w:r>
          </w:p>
        </w:tc>
        <w:tc>
          <w:p>
            <w:r>
              <w:rPr>
                <w:color w:val="1F4E9A"/>
              </w:rPr>
              <w:t xml:space="preserve">{moduleSpecPmaxW}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Vmp (V)</w:t>
            </w:r>
          </w:p>
        </w:tc>
        <w:tc>
          <w:p>
            <w:r>
              <w:rPr>
                <w:color w:val="1F4E9A"/>
              </w:rPr>
              <w:t xml:space="preserve">{moduleSpecVmpV}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Imp (A)</w:t>
            </w:r>
          </w:p>
        </w:tc>
        <w:tc>
          <w:p>
            <w:r>
              <w:rPr>
                <w:color w:val="1F4E9A"/>
              </w:rPr>
              <w:t xml:space="preserve">{moduleSpecImpA}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Voc (V)</w:t>
            </w:r>
          </w:p>
        </w:tc>
        <w:tc>
          <w:p>
            <w:r>
              <w:rPr>
                <w:color w:val="1F4E9A"/>
              </w:rPr>
              <w:t xml:space="preserve">{moduleSpecVocV}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Isc (A)</w:t>
            </w:r>
          </w:p>
        </w:tc>
        <w:tc>
          <w:p>
            <w:r>
              <w:rPr>
                <w:color w:val="1F4E9A"/>
              </w:rP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DC max (V)</w:t>
            </w:r>
          </w:p>
        </w:tc>
        <w:tc>
          <w:p>
            <w:r>
              <w:rPr>
                <w:color w:val="1F4E9A"/>
              </w:rPr>
              <w:t xml:space="preserve">{inverterSpecVdcMaxV}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min (V)</w:t>
            </w:r>
          </w:p>
        </w:tc>
        <w:tc>
          <w:p>
            <w:r>
              <w:rPr>
                <w:color w:val="1F4E9A"/>
              </w:rPr>
              <w:t xml:space="preserve">{inverterSpecMpptMinV}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max (V)</w:t>
            </w:r>
          </w:p>
        </w:tc>
        <w:tc>
          <w:p>
            <w:r>
              <w:rPr>
                <w:color w:val="1F4E9A"/>
              </w:rP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</w:t>
      </w:r>
      <w:r>
        <w:rPr>
          <w:color w:val="1F4E9A"/>
        </w:rPr>
        <w:t xml:space="preserve">{pDcW}</w:t>
      </w:r>
    </w:p>
    <w:p>
      <w:r>
        <w:t xml:space="preserve">Nombre de modules : </w:t>
      </w:r>
      <w:r>
        <w:rPr>
          <w:color w:val="1F4E9A"/>
        </w:rPr>
        <w:t xml:space="preserve">{moduleCount}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Ns min</w:t>
            </w:r>
          </w:p>
        </w:tc>
        <w:tc>
          <w:p>
            <w:r>
              <w:rPr>
                <w:color w:val="1F4E9A"/>
              </w:rPr>
              <w:t xml:space="preserve">{stringSizingNsMin}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Ns max</w:t>
            </w:r>
          </w:p>
        </w:tc>
        <w:tc>
          <w:p>
            <w:r>
              <w:rPr>
                <w:color w:val="1F4E9A"/>
              </w:rPr>
              <w:t xml:space="preserve">{stringSizingNsMax}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Ns optimal max</w:t>
            </w:r>
          </w:p>
        </w:tc>
        <w:tc>
          <w:p>
            <w:r>
              <w:rPr>
                <w:color w:val="1F4E9A"/>
              </w:rPr>
              <w:t xml:space="preserve">{stringSizingNsOptMax}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Np max</w:t>
            </w:r>
          </w:p>
        </w:tc>
        <w:tc>
          <w:p>
            <w:r>
              <w:rPr>
                <w:color w:val="1F4E9A"/>
              </w:rPr>
              <w:t xml:space="preserve">{stringSizingNpMax}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Np optimal</w:t>
            </w:r>
          </w:p>
        </w:tc>
        <w:tc>
          <w:p>
            <w:r>
              <w:rPr>
                <w:color w:val="1F4E9A"/>
              </w:rP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MPPT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Chaînes en parallèle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Modules par chaîne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{#mppts}{mpptLabel}</w:t>
            </w:r>
          </w:p>
        </w:tc>
        <w:tc>
          <w:p>
            <w:r>
              <w:rPr>
                <w:color w:val="1F4E9A"/>
              </w:rPr>
              <w:t xml:space="preserve">{stringsInParallel}</w:t>
            </w:r>
          </w:p>
        </w:tc>
        <w:tc>
          <w:p>
            <w:r>
              <w:rPr>
                <w:color w:val="1F4E9A"/>
              </w:rP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Section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Longueur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Mode de pose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{#cableRuns}{label}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DC (V)</w:t>
            </w:r>
          </w:p>
        </w:tc>
        <w:tc>
          <w:p>
            <w:r>
              <w:rPr>
                <w:color w:val="1F4E9A"/>
              </w:rPr>
              <w:t xml:space="preserve">{voltageDropDuDcV}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DC (%)</w:t>
            </w:r>
          </w:p>
        </w:tc>
        <w:tc>
          <w:p>
            <w:r>
              <w:rPr>
                <w:color w:val="1F4E9A"/>
              </w:rPr>
              <w:t xml:space="preserve">{voltageDropDuDcPct}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AC (V)</w:t>
            </w:r>
          </w:p>
        </w:tc>
        <w:tc>
          <w:p>
            <w:r>
              <w:rPr>
                <w:color w:val="1F4E9A"/>
              </w:rPr>
              <w:t xml:space="preserve">{voltageDropDuAcV}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Chute de tension AC (%)</w:t>
            </w:r>
          </w:p>
        </w:tc>
        <w:tc>
          <w:p>
            <w:r>
              <w:rPr>
                <w:color w:val="1F4E9A"/>
              </w:rP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{#earthingDetails}{label}</w:t>
            </w:r>
          </w:p>
        </w:tc>
        <w:tc>
          <w:p>
            <w:r>
              <w:rPr>
                <w:color w:val="1F4E9A"/>
              </w:rP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Poids total (N)</w:t>
            </w:r>
          </w:p>
        </w:tc>
        <w:tc>
          <w:p>
            <w:r>
              <w:rPr>
                <w:color w:val="1F4E9A"/>
              </w:rPr>
              <w:t xml:space="preserve">{stabilityWeightN}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gauche</w:t>
            </w:r>
          </w:p>
        </w:tc>
        <w:tc>
          <w:p>
            <w:r>
              <w:rPr>
                <w:color w:val="1F4E9A"/>
              </w:rPr>
              <w:t xml:space="preserve">{stabilityLhs}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droit</w:t>
            </w:r>
          </w:p>
        </w:tc>
        <w:tc>
          <w:p>
            <w:r>
              <w:rPr>
                <w:color w:val="1F4E9A"/>
              </w:rP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2"/>
      <w:szCs w:val="22"/>
      <w:u w:val="single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Times New Roman" w:cs="Times New Roman" w:eastAsia="Times New Roman" w:hAnsi="Times New Roman"/>
      <w:i/>
      <w:iCs/>
      <w:color w:val="000000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2026-10-22T15:57:27.208Z</dcterms:created>
  <dcterms:modified xsi:type="dcterms:W3CDTF">2026-10-22T15:57:27.210Z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