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{#isDraft}BROUILLON – NON RECEVABLE. Pièces manquantes : {draftMissingText}{/isDraft}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Type de branchement</w:t>
            </w:r>
          </w:p>
        </w:tc>
        <w:tc>
          <w:p>
            <w:r>
              <w:rPr>
                <w:color w:val="1F4E9A"/>
              </w:rPr>
              <w:t xml:space="preserve">{sizingBranchement}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souscrite</w:t>
            </w:r>
          </w:p>
        </w:tc>
        <w:tc>
          <w:p>
            <w:r>
              <w:rPr>
                <w:color w:val="1F4E9A"/>
              </w:rPr>
              <w:t xml:space="preserve">{sizingSubscribedPower}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Consommation de référence</w:t>
            </w:r>
          </w:p>
        </w:tc>
        <w:tc>
          <w:p>
            <w:r>
              <w:rPr>
                <w:color w:val="1F4E9A"/>
              </w:rPr>
              <w:t xml:space="preserve">{sizingConsumption}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installée (kWc)</w:t>
            </w:r>
          </w:p>
        </w:tc>
        <w:tc>
          <w:p>
            <w:r>
              <w:rPr>
                <w:color w:val="1F4E9A"/>
              </w:rPr>
              <w:t xml:space="preserve">{sizingInstalledKWp}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AC de l'onduleur (kW)</w:t>
            </w:r>
          </w:p>
        </w:tc>
        <w:tc>
          <w:p>
            <w:r>
              <w:rPr>
                <w:color w:val="1F4E9A"/>
              </w:rPr>
              <w:t xml:space="preserve">{sizingInverterPac}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Rapport DC/AC</w:t>
            </w:r>
          </w:p>
        </w:tc>
        <w:tc>
          <w:p>
            <w:r>
              <w:rPr>
                <w:color w:val="1F4E9A"/>
              </w:rPr>
              <w:t xml:space="preserve">{sizingDcAcRatio}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Règle de dimensionnement</w:t>
            </w:r>
          </w:p>
        </w:tc>
        <w:tc>
          <w:p>
            <w:r>
              <w:rPr>
                <w:color w:val="1F4E9A"/>
              </w:rPr>
              <w:t xml:space="preserve">{sizingRule}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Production annuelle estimée (kWh/an)</w:t>
            </w:r>
          </w:p>
        </w:tc>
        <w:tc>
          <w:p>
            <w:r>
              <w:rPr>
                <w:color w:val="1F4E9A"/>
              </w:rPr>
              <w:t xml:space="preserve">{productionAnnual}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Productible spécifique (kWh/kWc/an)</w:t>
            </w:r>
          </w:p>
        </w:tc>
        <w:tc>
          <w:p>
            <w:r>
              <w:rPr>
                <w:color w:val="1F4E9A"/>
              </w:rPr>
              <w:t xml:space="preserve">{productionSpecificYield}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Indice de performance (PR)</w:t>
            </w:r>
          </w:p>
        </w:tc>
        <w:tc>
          <w:p>
            <w:r>
              <w:rPr>
                <w:color w:val="1F4E9A"/>
              </w:rPr>
              <w:t xml:space="preserve">{productionPr}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Taux de couverture de la consommation</w:t>
            </w:r>
          </w:p>
        </w:tc>
        <w:tc>
          <w:p>
            <w:r>
              <w:rPr>
                <w:color w:val="1F4E9A"/>
              </w:rPr>
              <w:t xml:space="preserve">{productionCoverage}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Méthode</w:t>
            </w:r>
          </w:p>
        </w:tc>
        <w:tc>
          <w:p>
            <w:r>
              <w:rPr>
                <w:color w:val="1F4E9A"/>
              </w:rP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Mois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Irradiation dans le plan (kWh/m²)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Production (kWh)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{#productionMonths}{monthLabel}</w:t>
            </w:r>
          </w:p>
        </w:tc>
        <w:tc>
          <w:p>
            <w:r>
              <w:rPr>
                <w:color w:val="1F4E9A"/>
              </w:rPr>
              <w:t xml:space="preserve">{globInc}</w:t>
            </w:r>
          </w:p>
        </w:tc>
        <w:tc>
          <w:p>
            <w:r>
              <w:rPr>
                <w:color w:val="1F4E9A"/>
              </w:rPr>
              <w:t xml:space="preserve">{eGrid}</w:t>
            </w:r>
          </w:p>
        </w:tc>
        <w:tc>
          <w:p>
            <w:r>
              <w:rPr>
                <w:color w:val="1F4E9A"/>
              </w:rPr>
              <w:t xml:space="preserve">{pr}{/productionMonths}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color w:val="1F4E9A"/>
              </w:rPr>
              <w:t xml:space="preserve">{productionTotalGlobInc}</w:t>
            </w:r>
          </w:p>
        </w:tc>
        <w:tc>
          <w:p>
            <w:r>
              <w:rPr>
                <w:color w:val="1F4E9A"/>
              </w:rPr>
              <w:t xml:space="preserve">{productionTotalEGrid}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{sectionNumberSolution}1 Caractéristiques du module</w:t>
      </w:r>
    </w:p>
    <w:p>
      <w:r>
        <w:t xml:space="preserve">Module : </w:t>
      </w:r>
      <w:r>
        <w:rPr>
          <w:color w:val="1F4E9A"/>
        </w:rPr>
        <w:t xml:space="preserve">{moduleBrandModel}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(Wc)</w:t>
            </w:r>
          </w:p>
        </w:tc>
        <w:tc>
          <w:p>
            <w:r>
              <w:rPr>
                <w:color w:val="1F4E9A"/>
              </w:rPr>
              <w:t xml:space="preserve">{moduleSpecPmaxW}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Vmp (V)</w:t>
            </w:r>
          </w:p>
        </w:tc>
        <w:tc>
          <w:p>
            <w:r>
              <w:rPr>
                <w:color w:val="1F4E9A"/>
              </w:rPr>
              <w:t xml:space="preserve">{moduleSpecVmpV}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Imp (A)</w:t>
            </w:r>
          </w:p>
        </w:tc>
        <w:tc>
          <w:p>
            <w:r>
              <w:rPr>
                <w:color w:val="1F4E9A"/>
              </w:rPr>
              <w:t xml:space="preserve">{moduleSpecImpA}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Voc (V)</w:t>
            </w:r>
          </w:p>
        </w:tc>
        <w:tc>
          <w:p>
            <w:r>
              <w:rPr>
                <w:color w:val="1F4E9A"/>
              </w:rPr>
              <w:t xml:space="preserve">{moduleSpecVocV}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Courant Isc (A)</w:t>
            </w:r>
          </w:p>
        </w:tc>
        <w:tc>
          <w:p>
            <w:r>
              <w:rPr>
                <w:color w:val="1F4E9A"/>
              </w:rPr>
              <w:t xml:space="preserve">{moduleSpecIscA}</w:t>
            </w:r>
          </w:p>
        </w:tc>
      </w:tr>
    </w:tbl>
    <w:p>
      <w:pPr>
        <w:pStyle w:val="Heading2"/>
      </w:pPr>
      <w:r>
        <w:t xml:space="preserve">{sectionNumberSolution}2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Tension DC max (V)</w:t>
            </w:r>
          </w:p>
        </w:tc>
        <w:tc>
          <w:p>
            <w:r>
              <w:rPr>
                <w:color w:val="1F4E9A"/>
              </w:rPr>
              <w:t xml:space="preserve">{inverterSpecVdcMaxV}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min (V)</w:t>
            </w:r>
          </w:p>
        </w:tc>
        <w:tc>
          <w:p>
            <w:r>
              <w:rPr>
                <w:color w:val="1F4E9A"/>
              </w:rPr>
              <w:t xml:space="preserve">{inverterSpecMpptMinV}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Plage MPPT max (V)</w:t>
            </w:r>
          </w:p>
        </w:tc>
        <w:tc>
          <w:p>
            <w:r>
              <w:rPr>
                <w:color w:val="1F4E9A"/>
              </w:rPr>
              <w:t xml:space="preserve">{inverterSpecMpptMaxV}</w:t>
            </w:r>
          </w:p>
        </w:tc>
      </w:tr>
    </w:tbl>
    <w:p>
      <w:pPr>
        <w:pStyle w:val="Heading2"/>
      </w:pPr>
      <w:r>
        <w:t xml:space="preserve">{sectionNumberSolution}3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MPPT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Chaînes en parallèle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Modules par chaîne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{#mppts}{mpptLabel}</w:t>
            </w:r>
          </w:p>
        </w:tc>
        <w:tc>
          <w:p>
            <w:r>
              <w:rPr>
                <w:color w:val="1F4E9A"/>
              </w:rPr>
              <w:t xml:space="preserve">{stringsInParallel}</w:t>
            </w:r>
          </w:p>
        </w:tc>
        <w:tc>
          <w:p>
            <w:r>
              <w:rPr>
                <w:color w:val="1F4E9A"/>
              </w:rP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2"/>
      </w:pPr>
      <w:r>
        <w:t xml:space="preserve">{sectionNumberSolution}4 Dimensionnement du champ PV</w:t>
      </w:r>
    </w:p>
    <w:p>
      <w:r>
        <w:t xml:space="preserve">Puissance totale : </w:t>
      </w:r>
      <w:r>
        <w:rPr>
          <w:color w:val="1F4E9A"/>
        </w:rPr>
        <w:t xml:space="preserve">{pDcW}</w:t>
      </w:r>
    </w:p>
    <w:p>
      <w:r>
        <w:t xml:space="preserve">Nombre de modules : </w:t>
      </w:r>
      <w:r>
        <w:rPr>
          <w:color w:val="1F4E9A"/>
        </w:rPr>
        <w:t xml:space="preserve">{moduleCount}</w:t>
      </w:r>
    </w:p>
    <w:p>
      <w:r>
        <w:t xml:space="preserve">Températures de calcul : </w:t>
      </w:r>
      <w:r>
        <w:rPr>
          <w:color w:val="1F4E9A"/>
        </w:rPr>
        <w:t xml:space="preserve">{temperatureAssumptions}</w:t>
      </w:r>
    </w:p>
    <w:p>
      <w:r>
        <w:t xml:space="preserve">{#stringSizingNotes}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 w:val="false"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{/stringSizingNotes}</w:t>
      </w:r>
    </w:p>
    <w:p>
      <w:pPr>
        <w:pStyle w:val="Heading1"/>
      </w:pPr>
      <w:r>
        <w:t xml:space="preserve">{sectionNumberProtections} Dimensionnement des protections</w:t>
      </w:r>
    </w:p>
    <w:p>
      <w:r>
        <w:t xml:space="preserve">{#protectionNotes}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Exigences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Matériel retenu : </w:t>
      </w:r>
      <w:r>
        <w:rPr>
          <w:color w:val="1F4E9A"/>
        </w:rPr>
        <w:t xml:space="preserve">{chosen}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{/protectionNotes}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Section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Longueur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Mode de pose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{#cableRuns}{label}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{installMethod}{/cableRuns}</w:t>
            </w:r>
          </w:p>
        </w:tc>
      </w:tr>
    </w:tbl>
    <w:p>
      <w:pPr>
        <w:pStyle w:val="Heading2"/>
      </w:pPr>
      <w:r>
        <w:t xml:space="preserve">{sectionNumberCablage}1 Dimensionnement des câbles</w:t>
      </w:r>
    </w:p>
    <w:p>
      <w:r>
        <w:t xml:space="preserve">Le courant admissible des câbles est déterminé selon la norme NF C 15-100 (partie 5-52, courants admissibles) et, pour les câbles DC du champ photovoltaïque, selon le guide UTE C15-712-1. Il tient compte des facteurs de correction liés aux conditions de pose :</w:t>
      </w:r>
    </w:p>
    <w:p>
      <w:pPr>
        <w:keepNext/>
        <w:jc w:val="center"/>
      </w:pPr>
      <w:r>
        <w:rPr>
          <w:b/>
          <w:bCs/>
        </w:rPr>
        <w:t xml:space="preserve">Iz' = Iz × K1 × K2 × K3 × K4</w:t>
      </w:r>
    </w:p>
    <w:p>
      <w:pPr>
        <w:keepNext/>
      </w:pPr>
      <w:r>
        <w:t xml:space="preserve">Avec :</w:t>
      </w:r>
    </w:p>
    <w:p>
      <w:pPr>
        <w:ind w:left="360"/>
      </w:pPr>
      <w:r>
        <w:t xml:space="preserve">Iz' : courant admissible du câble dans ses conditions de pose (A) ;</w:t>
      </w:r>
    </w:p>
    <w:p>
      <w:pPr>
        <w:ind w:left="360"/>
      </w:pPr>
      <w:r>
        <w:t xml:space="preserve">Iz : courant admissible de référence du câble choisi, donné par le fabricant pour sa méthode de référence (B, C, E ou F) à 30 °C (A) ;</w:t>
      </w:r>
    </w:p>
    <w:p>
      <w:pPr>
        <w:ind w:left="360"/>
      </w:pPr>
      <w:r>
        <w:t xml:space="preserve">K1 : facteur de correction lié au mode de pose (NF C 15-100, tableau 52C pour le mode de pose, tableau 52G pour la méthode de référence) ;</w:t>
      </w:r>
    </w:p>
    <w:p>
      <w:pPr>
        <w:ind w:left="360"/>
      </w:pPr>
      <w:r>
        <w:t xml:space="preserve">K2 : facteur de correction lié au groupement de circuits jointifs (NF C 15-100, tableau 52N) ;</w:t>
      </w:r>
    </w:p>
    <w:p>
      <w:pPr>
        <w:ind w:left="360"/>
      </w:pPr>
      <w:r>
        <w:t xml:space="preserve">K3 : facteur de correction lié à la température ambiante et à la nature de l'isolant (NF C 15-100, tableau 52K) ;</w:t>
      </w:r>
    </w:p>
    <w:p>
      <w:pPr>
        <w:ind w:left="360"/>
      </w:pPr>
      <w:r>
        <w:t xml:space="preserve">K4 : facteur de correction lié au nombre de couches de câbles (NF C 15-100, tableau 52O).</w:t>
      </w:r>
    </w:p>
    <w:p>
      <w:r>
        <w:t xml:space="preserve">Conditions à vérifier : côté DC, Iz' ≥ 1,25 × Isc × Np, courant de conception du champ (UTE C15-712-1) ; côté AC, Ib ≤ In ≤ Iz', avec Ib le courant d'emploi (Iac max de l'onduleur) et In le calibre du disjoncteur (NF C 15-100).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Liaison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Iz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K1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K2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K3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K4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Iz'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Courant de conception (A)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{#cableSizingRows}{link}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{iz}</w:t>
            </w:r>
          </w:p>
        </w:tc>
        <w:tc>
          <w:p>
            <w:r>
              <w:rPr>
                <w:color w:val="1F4E9A"/>
              </w:rPr>
              <w:t xml:space="preserve">{k1}</w:t>
            </w:r>
          </w:p>
        </w:tc>
        <w:tc>
          <w:p>
            <w:r>
              <w:rPr>
                <w:color w:val="1F4E9A"/>
              </w:rPr>
              <w:t xml:space="preserve">{k2}</w:t>
            </w:r>
          </w:p>
        </w:tc>
        <w:tc>
          <w:p>
            <w:r>
              <w:rPr>
                <w:color w:val="1F4E9A"/>
              </w:rPr>
              <w:t xml:space="preserve">{k3}</w:t>
            </w:r>
          </w:p>
        </w:tc>
        <w:tc>
          <w:p>
            <w:r>
              <w:rPr>
                <w:color w:val="1F4E9A"/>
              </w:rPr>
              <w:t xml:space="preserve">{k4}</w:t>
            </w:r>
          </w:p>
        </w:tc>
        <w:tc>
          <w:p>
            <w:r>
              <w:rPr>
                <w:color w:val="1F4E9A"/>
              </w:rPr>
              <w:t xml:space="preserve">{izCorrected}</w:t>
            </w:r>
          </w:p>
        </w:tc>
        <w:tc>
          <w:p>
            <w:r>
              <w:rPr>
                <w:color w:val="1F4E9A"/>
              </w:rPr>
              <w:t xml:space="preserve">{designCurrent}{/cableSizingRows}</w:t>
            </w:r>
          </w:p>
        </w:tc>
      </w:tr>
    </w:tbl>
    <w:p>
      <w:r>
        <w:t xml:space="preserve">{#cableSizingRows}</w:t>
      </w:r>
    </w:p>
    <w:p>
      <w:pPr>
        <w:keepNext/>
        <w:spacing w:before="200"/>
      </w:pPr>
      <w:r>
        <w:rPr>
          <w:b/>
          <w:bCs/>
        </w:rPr>
        <w:t xml:space="preserve">{link}</w:t>
      </w:r>
    </w:p>
    <w:p>
      <w:pPr>
        <w:keepNext/>
      </w:pPr>
      <w:r>
        <w:rPr>
          <w:color w:val="1F4E9A"/>
        </w:rPr>
        <w:t xml:space="preserve">{factorsText}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{/cableSizingRows}</w:t>
      </w:r>
    </w:p>
    <w:p>
      <w:pPr>
        <w:pStyle w:val="Heading2"/>
      </w:pPr>
      <w:r>
        <w:t xml:space="preserve">{sectionNumberCablage}2 Chute de tension</w:t>
      </w:r>
    </w:p>
    <w:p>
      <w:r>
        <w:t xml:space="preserve">{voltageDropLimitsText}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Liaison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ρ (Ω·mm²/m)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U (V)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ΔU (V)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ΔU (%)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Limite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{#voltageDropRows}{link}</w:t>
            </w:r>
          </w:p>
        </w:tc>
        <w:tc>
          <w:p>
            <w:r>
              <w:rPr>
                <w:color w:val="1F4E9A"/>
              </w:rPr>
              <w:t xml:space="preserve">{rho}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{currentA}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{voltageV}</w:t>
            </w:r>
          </w:p>
        </w:tc>
        <w:tc>
          <w:p>
            <w:r>
              <w:rPr>
                <w:color w:val="1F4E9A"/>
              </w:rPr>
              <w:t xml:space="preserve">{dropV}</w:t>
            </w:r>
          </w:p>
        </w:tc>
        <w:tc>
          <w:p>
            <w:r>
              <w:rPr>
                <w:color w:val="1F4E9A"/>
              </w:rPr>
              <w:t xml:space="preserve">{dropPct}</w:t>
            </w:r>
          </w:p>
        </w:tc>
        <w:tc>
          <w:p>
            <w:r>
              <w:rPr>
                <w:color w:val="1F4E9A"/>
              </w:rPr>
              <w:t xml:space="preserve">{limitPct}{/voltageDropRows}</w:t>
            </w:r>
          </w:p>
        </w:tc>
      </w:tr>
    </w:tbl>
    <w:p>
      <w:r>
        <w:t xml:space="preserve">{#voltageDropRows}</w:t>
      </w:r>
    </w:p>
    <w:p>
      <w:pPr>
        <w:keepNext/>
        <w:spacing w:before="200"/>
      </w:pPr>
      <w:r>
        <w:rPr>
          <w:b/>
          <w:bCs/>
        </w:rPr>
        <w:t xml:space="preserve">{link}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{/voltageDropRows}</w:t>
      </w:r>
    </w:p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{#earthingDetails}{label}</w:t>
            </w:r>
          </w:p>
        </w:tc>
        <w:tc>
          <w:p>
            <w:r>
              <w:rPr>
                <w:color w:val="1F4E9A"/>
              </w:rP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{#structureRows}{label}</w:t>
            </w:r>
          </w:p>
        </w:tc>
        <w:tc>
          <w:p>
            <w:r>
              <w:rPr>
                <w:color w:val="1F4E9A"/>
              </w:rPr>
              <w:t xml:space="preserve">{value}{/structureRows}</w:t>
            </w:r>
          </w:p>
        </w:tc>
      </w:tr>
    </w:tbl>
    <w:p>
      <w:r>
        <w:t xml:space="preserve">{#stabilityNotes}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 w:val="false"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{/stabilityNotes}</w:t>
      </w:r>
    </w:p>
    <w:p>
      <w:r>
        <w:t xml:space="preserve">{#stabilityComputed}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Poids total (N)</w:t>
            </w:r>
          </w:p>
        </w:tc>
        <w:tc>
          <w:p>
            <w:r>
              <w:rPr>
                <w:color w:val="1F4E9A"/>
              </w:rPr>
              <w:t xml:space="preserve">{stabilityWeightN}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gauche</w:t>
            </w:r>
          </w:p>
        </w:tc>
        <w:tc>
          <w:p>
            <w:r>
              <w:rPr>
                <w:color w:val="1F4E9A"/>
              </w:rPr>
              <w:t xml:space="preserve">{stabilityLhs}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droit</w:t>
            </w:r>
          </w:p>
        </w:tc>
        <w:tc>
          <w:p>
            <w:r>
              <w:rPr>
                <w:color w:val="1F4E9A"/>
              </w:rP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{conclusionText}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5"/>
        <w:gridCol w:w="4535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Times New Roman" w:cs="Times New Roman" w:eastAsia="Times New Roman" w:hAnsi="Times New Roman"/>
      <w:b/>
      <w:bCs/>
      <w:color w:val="000000"/>
      <w:sz w:val="22"/>
      <w:szCs w:val="22"/>
      <w:u w:val="single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Times New Roman" w:cs="Times New Roman" w:eastAsia="Times New Roman" w:hAnsi="Times New Roman"/>
      <w:i/>
      <w:iCs/>
      <w:color w:val="000000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2026-10-22T22:48:49.306Z</dcterms:created>
  <dcterms:modified xsi:type="dcterms:W3CDTF">2026-10-22T22:48:49.309Z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