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NILEGATE-DOC v1</w:t>
      </w:r>
    </w:p>
    <w:p>
      <w:r>
        <w:t xml:space="preserve">document_code: NG-OPS-GDL-0003</w:t>
      </w:r>
    </w:p>
    <w:p>
      <w:r>
        <w:t xml:space="preserve">title: إرشادات السلامة للعاملين في ساحة الحاويات</w:t>
      </w:r>
    </w:p>
    <w:p>
      <w:r>
        <w:t xml:space="preserve">document_type: guideline</w:t>
      </w:r>
    </w:p>
    <w:p>
      <w:r>
        <w:t xml:space="preserve">department: Operations</w:t>
      </w:r>
    </w:p>
    <w:p>
      <w:r>
        <w:t xml:space="preserve">sensitivity_level: 1</w:t>
      </w:r>
    </w:p>
    <w:p>
      <w:r>
        <w:t xml:space="preserve">version_date: 2026-04-10</w:t>
      </w:r>
    </w:p>
    <w:p>
      <w:r>
        <w:t xml:space="preserve">language: ar</w:t>
      </w:r>
    </w:p>
    <w:p>
      <w:r>
        <w:t xml:space="preserve">data_origin: internal</w:t>
      </w:r>
    </w:p>
    <w:p>
      <w:r>
        <w:t xml:space="preserve">personal_data: no</w:t>
      </w:r>
    </w:p>
    <w:p>
      <w:r>
        <w:t xml:space="preserve">END-METADATA</w:t>
      </w:r>
    </w:p>
    <w:p>
      <w:pPr>
        <w:pStyle w:val="Heading1"/>
        <w:bidi/>
      </w:pPr>
      <w:r>
        <w:t xml:space="preserve">1. الغرض</w:t>
      </w:r>
    </w:p>
    <w:p>
      <w:pPr>
        <w:bidi/>
      </w:pPr>
      <w:r>
        <w:t xml:space="preserve">توضح هذه الإرشادات قواعد السلامة الأساسية للعاملين والسائقين داخل ساحة الحاويات في محطات نايل جيت، بهدف منع الحوادث أثناء حركة الشاحنات وعمل الرافعات.</w:t>
      </w:r>
    </w:p>
    <w:p>
      <w:pPr>
        <w:pStyle w:val="Heading1"/>
        <w:bidi/>
      </w:pPr>
      <w:r>
        <w:t xml:space="preserve">2. النطاق</w:t>
      </w:r>
    </w:p>
    <w:p>
      <w:pPr>
        <w:bidi/>
      </w:pPr>
      <w:r>
        <w:t xml:space="preserve">تنطبق هذه الإرشادات على جميع العاملين والمقاولين وسائقي الشاحنات الخارجيين داخل ساحة الحاويات، ويلتزم بها الزوار المصرح لهم بالدخول.</w:t>
      </w:r>
    </w:p>
    <w:p>
      <w:pPr>
        <w:pStyle w:val="Heading1"/>
        <w:bidi/>
      </w:pPr>
      <w:r>
        <w:t xml:space="preserve">3. معدات الوقاية الشخصية</w:t>
      </w:r>
    </w:p>
    <w:p>
      <w:pPr>
        <w:bidi/>
      </w:pPr>
      <w:r>
        <w:t xml:space="preserve">يجب ارتداء خوذة السلامة والسترة العاكسة عالية الوضوح وحذاء الأمان ذي المقدمة الفولاذية طوال الوجود في الساحة، مع النظارات الواقية عند أعمال اللحام أو القطع.</w:t>
      </w:r>
    </w:p>
    <w:p>
      <w:pPr>
        <w:pStyle w:val="Heading1"/>
        <w:bidi/>
      </w:pPr>
      <w:r>
        <w:t xml:space="preserve">4. الحركة داخل الساحة</w:t>
      </w:r>
    </w:p>
    <w:p>
      <w:pPr>
        <w:bidi/>
      </w:pPr>
      <w:r>
        <w:t xml:space="preserve">السرعة القصوى للشاحنات داخل الساحة 25 كيلومترا في الساعة، و15 كيلومترا في الساعة بالقرب من الرافعات. يمنع المشي في ممرات الرافعات الجسرية، ويكون عبور المشاة من المعابر المحددة فقط.</w:t>
      </w:r>
    </w:p>
    <w:p>
      <w:pPr>
        <w:pStyle w:val="Heading1"/>
        <w:bidi/>
      </w:pPr>
      <w:r>
        <w:t xml:space="preserve">5. العمل بالقرب من الرافعات</w:t>
      </w:r>
    </w:p>
    <w:p>
      <w:pPr>
        <w:bidi/>
      </w:pPr>
      <w:r>
        <w:t xml:space="preserve">يحافظ العاملون على مسافة أمان لا تقل عن 10 أمتار من الرافعة أثناء الرفع، ويمنع الوقوف تحت الحمولة المعلقة. يتم التواصل مع مشغل الرافعة باللاسلكي على القناة 4.</w:t>
      </w:r>
    </w:p>
    <w:p>
      <w:pPr>
        <w:pStyle w:val="Heading1"/>
        <w:bidi/>
      </w:pPr>
      <w:r>
        <w:t xml:space="preserve">6. الإبلاغ عن الحوادث</w:t>
      </w:r>
    </w:p>
    <w:p>
      <w:pPr>
        <w:bidi/>
      </w:pPr>
      <w:r>
        <w:t xml:space="preserve">يبلغ المشرف عن أي حادث أو حادث وشيك خلال ساعة واحدة، ويقدم تقرير مكتوب خلال 24 ساعة. في حالات الطوارئ يتم الاتصال برقم الطوارئ الداخلي 555.</w:t>
      </w:r>
    </w:p>
    <w:sectPr>
      <w:footerReference w:type="default" r:id="rIdFtr"/>
      <w:pgSz w:w="11906" w:h="16838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NileGate · NG-OPS-GDL-0003 · 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  <w:r>
      <w:t xml:space="preserve"> · level 1</w:t>
    </w:r>
  </w:p>
</w:ftr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</w:style>
  <w:style w:type="paragraph" w:styleId="Heading1">
    <w:name w:val="heading 1"/>
    <w:rPr>
      <w:b/>
    </w:rPr>
  </w:style>
  <w:style w:type="paragraph" w:styleId="Heading2">
    <w:name w:val="heading 2"/>
    <w:rPr>
      <w:b/>
    </w:rPr>
  </w:style>
  <w:style w:type="paragraph" w:styleId="Heading3">
    <w:name w:val="heading 3"/>
    <w:rPr>
      <w:b/>
    </w:rPr>
  </w:style>
  <w:style w:type="character" w:styleId="Quiet">
    <w:name w:val="Quiet"/>
    <w:rPr>
      <w:vanish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إرشادات السلامة للعاملين في ساحة الحاويات</dc:title>
  <dc:creator>NileGate</dc:creator>
  <dc:subject/>
</cp:coreProperties>
</file>