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100"/>
        <w:jc w:val="center"/>
      </w:pPr>
      <w:r>
        <w:rPr>
          <w:rFonts w:ascii="Arial" w:cs="Arial" w:eastAsia="Arial" w:hAnsi="Arial"/>
          <w:b/>
          <w:bCs/>
          <w:color w:val="1B4F72"/>
          <w:sz w:val="48"/>
          <w:szCs w:val="48"/>
        </w:rPr>
        <w:t xml:space="preserve">INSIGHTFORGE</w:t>
      </w:r>
    </w:p>
    <w:p>
      <w:pPr>
        <w:spacing w:after="200"/>
        <w:jc w:val="center"/>
      </w:pPr>
      <w:r>
        <w:rPr>
          <w:rFonts w:ascii="Arial" w:cs="Arial" w:eastAsia="Arial" w:hAnsi="Arial"/>
          <w:color w:val="2E86C1"/>
          <w:sz w:val="36"/>
          <w:szCs w:val="36"/>
        </w:rPr>
        <w:t xml:space="preserve">Digital Consumer Twins &amp; Synthetic Markets</w:t>
      </w:r>
    </w:p>
    <w:p>
      <w:pPr>
        <w:spacing w:after="80"/>
        <w:jc w:val="center"/>
      </w:pPr>
      <w:r>
        <w:rPr>
          <w:rFonts w:ascii="Arial" w:cs="Arial" w:eastAsia="Arial" w:hAnsi="Arial"/>
          <w:color w:val="2C3E50"/>
          <w:sz w:val="28"/>
          <w:szCs w:val="28"/>
        </w:rPr>
        <w:t xml:space="preserve">Deep Research &amp; Strategic Brainstorming</w:t>
      </w:r>
    </w:p>
    <w:p>
      <w:pPr>
        <w:spacing w:after="80"/>
        <w:jc w:val="center"/>
      </w:pPr>
      <w:r>
        <w:rPr>
          <w:rFonts w:ascii="Arial" w:cs="Arial" w:eastAsia="Arial" w:hAnsi="Arial"/>
          <w:i/>
          <w:iCs/>
          <w:color w:val="2E86C1"/>
          <w:sz w:val="24"/>
          <w:szCs w:val="24"/>
        </w:rPr>
        <w:t xml:space="preserve">The Focus Group of the Future — An Additive Feature Layer</w:t>
      </w:r>
    </w:p>
    <w:p>
      <w:pPr>
        <w:spacing w:after="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sz="0"/>
              <w:left w:val="none" w:sz="0"/>
              <w:bottom w:val="none" w:sz="0"/>
              <w:right w:val="none" w:sz="0"/>
            </w:tcBorders>
            <w:shd w:fill="1B4F72" w:val="clear"/>
            <w:tcMar>
              <w:top w:type="dxa" w:w="60"/>
              <w:left w:type="dxa" w:w="120"/>
              <w:bottom w:type="dxa" w:w="60"/>
              <w:right w:type="dxa" w:w="120"/>
            </w:tcMar>
          </w:tcPr>
          <w:p>
            <w:r>
              <w:rPr>
                <w:rFonts w:ascii="Arial" w:cs="Arial" w:eastAsia="Arial" w:hAnsi="Arial"/>
                <w:b/>
                <w:bCs/>
                <w:color w:val="FFFFFF"/>
                <w:sz w:val="18"/>
                <w:szCs w:val="18"/>
              </w:rPr>
              <w:t xml:space="preserve">VP of Product (40+ yrs)</w:t>
            </w:r>
          </w:p>
        </w:tc>
        <w:tc>
          <w:tcPr>
            <w:tcW w:type="dxa" w:w="6560"/>
            <w:tcBorders>
              <w:top w:val="none" w:sz="0"/>
              <w:left w:val="none" w:sz="0"/>
              <w:bottom w:val="none" w:sz="0"/>
              <w:right w:val="none" w:sz="0"/>
            </w:tcBorders>
            <w:shd w:fill="EBF5FB" w:val="clear"/>
            <w:tcMar>
              <w:top w:type="dxa" w:w="60"/>
              <w:left w:type="dxa" w:w="120"/>
              <w:bottom w:type="dxa" w:w="60"/>
              <w:right w:type="dxa" w:w="120"/>
            </w:tcMar>
          </w:tcPr>
          <w:p>
            <w:r>
              <w:rPr>
                <w:rFonts w:ascii="Arial" w:cs="Arial" w:eastAsia="Arial" w:hAnsi="Arial"/>
                <w:color w:val="2C3E50"/>
                <w:sz w:val="18"/>
                <w:szCs w:val="18"/>
              </w:rPr>
              <w:t xml:space="preserve">Market positioning, PMF acceleration, feature-market fit</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sz="0"/>
              <w:left w:val="none" w:sz="0"/>
              <w:bottom w:val="none" w:sz="0"/>
              <w:right w:val="none" w:sz="0"/>
            </w:tcBorders>
            <w:shd w:fill="1B4F72" w:val="clear"/>
            <w:tcMar>
              <w:top w:type="dxa" w:w="60"/>
              <w:left w:type="dxa" w:w="120"/>
              <w:bottom w:type="dxa" w:w="60"/>
              <w:right w:type="dxa" w:w="120"/>
            </w:tcMar>
          </w:tcPr>
          <w:p>
            <w:r>
              <w:rPr>
                <w:rFonts w:ascii="Arial" w:cs="Arial" w:eastAsia="Arial" w:hAnsi="Arial"/>
                <w:b/>
                <w:bCs/>
                <w:color w:val="FFFFFF"/>
                <w:sz w:val="18"/>
                <w:szCs w:val="18"/>
              </w:rPr>
              <w:t xml:space="preserve">CTO (40+ yrs)</w:t>
            </w:r>
          </w:p>
        </w:tc>
        <w:tc>
          <w:tcPr>
            <w:tcW w:type="dxa" w:w="6560"/>
            <w:tcBorders>
              <w:top w:val="none" w:sz="0"/>
              <w:left w:val="none" w:sz="0"/>
              <w:bottom w:val="none" w:sz="0"/>
              <w:right w:val="none" w:sz="0"/>
            </w:tcBorders>
            <w:shd w:fill="EBF5FB" w:val="clear"/>
            <w:tcMar>
              <w:top w:type="dxa" w:w="60"/>
              <w:left w:type="dxa" w:w="120"/>
              <w:bottom w:type="dxa" w:w="60"/>
              <w:right w:type="dxa" w:w="120"/>
            </w:tcMar>
          </w:tcPr>
          <w:p>
            <w:r>
              <w:rPr>
                <w:rFonts w:ascii="Arial" w:cs="Arial" w:eastAsia="Arial" w:hAnsi="Arial"/>
                <w:color w:val="2C3E50"/>
                <w:sz w:val="18"/>
                <w:szCs w:val="18"/>
              </w:rPr>
              <w:t xml:space="preserve">Architecture, scalability, build-vs-buy, technical feasibility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sz="0"/>
              <w:left w:val="none" w:sz="0"/>
              <w:bottom w:val="none" w:sz="0"/>
              <w:right w:val="none" w:sz="0"/>
            </w:tcBorders>
            <w:shd w:fill="1B4F72" w:val="clear"/>
            <w:tcMar>
              <w:top w:type="dxa" w:w="60"/>
              <w:left w:type="dxa" w:w="120"/>
              <w:bottom w:type="dxa" w:w="60"/>
              <w:right w:type="dxa" w:w="120"/>
            </w:tcMar>
          </w:tcPr>
          <w:p>
            <w:r>
              <w:rPr>
                <w:rFonts w:ascii="Arial" w:cs="Arial" w:eastAsia="Arial" w:hAnsi="Arial"/>
                <w:b/>
                <w:bCs/>
                <w:color w:val="FFFFFF"/>
                <w:sz w:val="18"/>
                <w:szCs w:val="18"/>
              </w:rPr>
              <w:t xml:space="preserve">Chief Architect (40+ yrs)</w:t>
            </w:r>
          </w:p>
        </w:tc>
        <w:tc>
          <w:tcPr>
            <w:tcW w:type="dxa" w:w="6560"/>
            <w:tcBorders>
              <w:top w:val="none" w:sz="0"/>
              <w:left w:val="none" w:sz="0"/>
              <w:bottom w:val="none" w:sz="0"/>
              <w:right w:val="none" w:sz="0"/>
            </w:tcBorders>
            <w:shd w:fill="EBF5FB" w:val="clear"/>
            <w:tcMar>
              <w:top w:type="dxa" w:w="60"/>
              <w:left w:type="dxa" w:w="120"/>
              <w:bottom w:type="dxa" w:w="60"/>
              <w:right w:type="dxa" w:w="120"/>
            </w:tcMar>
          </w:tcPr>
          <w:p>
            <w:r>
              <w:rPr>
                <w:rFonts w:ascii="Arial" w:cs="Arial" w:eastAsia="Arial" w:hAnsi="Arial"/>
                <w:color w:val="2C3E50"/>
                <w:sz w:val="18"/>
                <w:szCs w:val="18"/>
              </w:rPr>
              <w:t xml:space="preserve">System design, data pipelines, integration patterns, multi-tenancy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sz="0"/>
              <w:left w:val="none" w:sz="0"/>
              <w:bottom w:val="none" w:sz="0"/>
              <w:right w:val="none" w:sz="0"/>
            </w:tcBorders>
            <w:shd w:fill="1B4F72" w:val="clear"/>
            <w:tcMar>
              <w:top w:type="dxa" w:w="60"/>
              <w:left w:type="dxa" w:w="120"/>
              <w:bottom w:type="dxa" w:w="60"/>
              <w:right w:type="dxa" w:w="120"/>
            </w:tcMar>
          </w:tcPr>
          <w:p>
            <w:r>
              <w:rPr>
                <w:rFonts w:ascii="Arial" w:cs="Arial" w:eastAsia="Arial" w:hAnsi="Arial"/>
                <w:b/>
                <w:bCs/>
                <w:color w:val="FFFFFF"/>
                <w:sz w:val="18"/>
                <w:szCs w:val="18"/>
              </w:rPr>
              <w:t xml:space="preserve">Head of UX (40+ yrs)</w:t>
            </w:r>
          </w:p>
        </w:tc>
        <w:tc>
          <w:tcPr>
            <w:tcW w:type="dxa" w:w="6560"/>
            <w:tcBorders>
              <w:top w:val="none" w:sz="0"/>
              <w:left w:val="none" w:sz="0"/>
              <w:bottom w:val="none" w:sz="0"/>
              <w:right w:val="none" w:sz="0"/>
            </w:tcBorders>
            <w:shd w:fill="EBF5FB" w:val="clear"/>
            <w:tcMar>
              <w:top w:type="dxa" w:w="60"/>
              <w:left w:type="dxa" w:w="120"/>
              <w:bottom w:type="dxa" w:w="60"/>
              <w:right w:type="dxa" w:w="120"/>
            </w:tcMar>
          </w:tcPr>
          <w:p>
            <w:r>
              <w:rPr>
                <w:rFonts w:ascii="Arial" w:cs="Arial" w:eastAsia="Arial" w:hAnsi="Arial"/>
                <w:color w:val="2C3E50"/>
                <w:sz w:val="18"/>
                <w:szCs w:val="18"/>
              </w:rPr>
              <w:t xml:space="preserve">Researcher workflow, trust calibration, cultural interface design</w:t>
            </w:r>
          </w:p>
        </w:tc>
      </w:tr>
    </w:tbl>
    <w:p>
      <w:pPr>
        <w:spacing w:after="40"/>
      </w:pPr>
    </w:p>
    <w:p>
      <w:pPr>
        <w:spacing w:after="400"/>
      </w:pPr>
    </w:p>
    <w:p>
      <w:pPr>
        <w:jc w:val="center"/>
      </w:pPr>
      <w:r>
        <w:rPr>
          <w:rFonts w:ascii="Arial" w:cs="Arial" w:eastAsia="Arial" w:hAnsi="Arial"/>
          <w:color w:val="D5D8DC"/>
          <w:sz w:val="22"/>
          <w:szCs w:val="22"/>
        </w:rPr>
        <w:t xml:space="preserve">March 2026 — Confidential</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1"/>
              <w:left w:val="single" w:color="F39C12" w:sz="12"/>
              <w:bottom w:val="single" w:color="F39C12" w:sz="1"/>
              <w:right w:val="single" w:color="F39C12" w:sz="1"/>
            </w:tcBorders>
            <w:shd w:fill="FEF9E7" w:val="clear"/>
            <w:tcMar>
              <w:top w:type="dxa" w:w="120"/>
              <w:left w:type="dxa" w:w="200"/>
              <w:bottom w:type="dxa" w:w="120"/>
              <w:right w:type="dxa" w:w="200"/>
            </w:tcMar>
          </w:tcPr>
          <w:p>
            <w:pPr>
              <w:spacing w:after="80"/>
            </w:pPr>
            <w:r>
              <w:rPr>
                <w:rFonts w:ascii="Arial" w:cs="Arial" w:eastAsia="Arial" w:hAnsi="Arial"/>
                <w:b/>
                <w:bCs/>
                <w:color w:val="F39C12"/>
                <w:sz w:val="22"/>
                <w:szCs w:val="22"/>
              </w:rPr>
              <w:t xml:space="preserve">⚠️ CRITICAL DESIGN PRINCIPLE</w:t>
            </w:r>
          </w:p>
          <w:p>
            <w:pPr>
              <w:spacing w:after="60" w:line="276"/>
            </w:pPr>
            <w:r>
              <w:rPr>
                <w:rFonts w:ascii="Arial" w:cs="Arial" w:eastAsia="Arial" w:hAnsi="Arial"/>
                <w:color w:val="2C3E50"/>
                <w:sz w:val="20"/>
                <w:szCs w:val="20"/>
              </w:rPr>
              <w:t xml:space="preserve">This document explores Digital Consumer Twins as a purely ADDITIVE capability layer for InsightForge. Nothing in the existing platform is modified, replaced, or overridden. The real-participant research workflows (surveys, focus groups, video IDIs, WhatsApp recruitment) remain the primary revenue engine and the foundational source of truth. Digital Twins sit alongside them as a complementary acceleration tool.</w:t>
            </w:r>
          </w:p>
        </w:tc>
      </w:tr>
    </w:tbl>
    <w:p>
      <w:pPr>
        <w:spacing w:after="100"/>
      </w:pPr>
    </w:p>
    <w:p>
      <w:pPr>
        <w:spacing w:after="120" w:line="276"/>
      </w:pPr>
      <w:r>
        <w:t xml:space="preserve">The market research industry is undergoing its most significant transformation since the internet. In February 2026, Simile raised $100M to build AI-powered digital twins of real consumers. Aaru reached a $1B headline valuation (its blended valuation was lower). Qualtrics added synthetic respondents as a toggle within its platform. Hundreds of millions of dollars in venture capital have flowed into synthetic consumer research in the past 18 months alone.</w:t>
      </w:r>
    </w:p>
    <w:p>
      <w:pPr>
        <w:spacing w:after="120" w:line="276"/>
      </w:pPr>
      <w:r>
        <w:t xml:space="preserve">For InsightForge, this represents a once-in-a-generation opportunity to build a MENA-first Digital Consumer Twin capability that no Western competitor can replicate. While Simile, Ditto, and Aaru are building for US/EU general populations, nobody is building culturally-grounded synthetic MENA consumers with Arabic-native cognition, Islamic purchase decision frameworks, tribal/family influence modeling, and Gulf vs. Levant vs. North Africa behavioral differentiation.</w:t>
      </w:r>
    </w:p>
    <w:p>
      <w:pPr>
        <w:spacing w:after="120" w:line="276"/>
      </w:pPr>
      <w:r>
        <w:t xml:space="preserve">This document presents the collective brainstorming of four senior perspectives — VP Product, CTO, Chief Architect, and Head of UX — on how InsightForge can build this capability as an additive layer that transforms the platform from a research execution tool into an insight prediction engine.</w:t>
      </w:r>
    </w:p>
    <w:p>
      <w:r>
        <w:br w:type="page"/>
      </w:r>
    </w:p>
    <w:p>
      <w:pPr>
        <w:pStyle w:val="Heading1"/>
      </w:pPr>
      <w:r>
        <w:t xml:space="preserve">2. Market Landscape: The 2026 Synthetic Research Explosion</w:t>
      </w:r>
    </w:p>
    <w:p>
      <w:pPr>
        <w:pStyle w:val="Heading2"/>
      </w:pPr>
      <w:r>
        <w:t xml:space="preserve">2.1 The Funding Frenzy</w:t>
      </w:r>
    </w:p>
    <w:p>
      <w:pPr>
        <w:spacing w:after="120" w:line="276"/>
      </w:pPr>
      <w:r>
        <w:t xml:space="preserve">The synthetic consumer research market has attracted unprecedented capital. This signals that the investment community sees behavioral simulation as the next major platform shift, comparable to the rise of SaaS or mobile computing.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500"/>
        <w:gridCol w:w="3560"/>
      </w:tblGrid>
      <w:tr>
        <w:trPr>
          <w:tblHeader/>
        </w:trPr>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Company</w:t>
            </w:r>
          </w:p>
        </w:tc>
        <w:tc>
          <w:tcPr>
            <w:tcW w:type="dxa" w:w="1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Funding</w:t>
            </w:r>
          </w:p>
        </w:tc>
        <w:tc>
          <w:tcPr>
            <w:tcW w:type="dxa" w:w="2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Approach</w:t>
            </w:r>
          </w:p>
        </w:tc>
        <w:tc>
          <w:tcPr>
            <w:tcW w:type="dxa" w:w="35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Key Differentiator</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Simile (Stanford)</w:t>
            </w:r>
          </w:p>
        </w:tc>
        <w:tc>
          <w:tcPr>
            <w:tcW w:type="dxa" w:w="1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$100M Series A</w:t>
            </w:r>
          </w:p>
        </w:tc>
        <w:tc>
          <w:tcPr>
            <w:tcW w:type="dxa" w:w="2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Grounded simulation from real interviews</w:t>
            </w:r>
          </w:p>
        </w:tc>
        <w:tc>
          <w:tcPr>
            <w:tcW w:type="dxa" w:w="3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85% GSS replication accuracy (Stanford, 2024); Gallup research partnership</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Listen Labs</w:t>
            </w:r>
          </w:p>
        </w:tc>
        <w:tc>
          <w:tcPr>
            <w:tcW w:type="dxa" w:w="15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$69M Series B ($100M total)</w:t>
            </w:r>
          </w:p>
        </w:tc>
        <w:tc>
          <w:tcPr>
            <w:tcW w:type="dxa" w:w="25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AI-moderated real interviews at scale</w:t>
            </w:r>
          </w:p>
        </w:tc>
        <w:tc>
          <w:tcPr>
            <w:tcW w:type="dxa" w:w="3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1M+ interviews; Microsoft, Robinhood clients</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Aaru</w:t>
            </w:r>
          </w:p>
        </w:tc>
        <w:tc>
          <w:tcPr>
            <w:tcW w:type="dxa" w:w="1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$50M+ ($1B headline)</w:t>
            </w:r>
          </w:p>
        </w:tc>
        <w:tc>
          <w:tcPr>
            <w:tcW w:type="dxa" w:w="2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Pure synthetic AI populations</w:t>
            </w:r>
          </w:p>
        </w:tc>
        <w:tc>
          <w:tcPr>
            <w:tcW w:type="dxa" w:w="3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No human data required; multi-agent simulation</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Ditto</w:t>
            </w:r>
          </w:p>
        </w:tc>
        <w:tc>
          <w:tcPr>
            <w:tcW w:type="dxa" w:w="15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Undisclosed</w:t>
            </w:r>
          </w:p>
        </w:tc>
        <w:tc>
          <w:tcPr>
            <w:tcW w:type="dxa" w:w="25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Census-calibrated synthetic personas</w:t>
            </w:r>
          </w:p>
        </w:tc>
        <w:tc>
          <w:tcPr>
            <w:tcW w:type="dxa" w:w="3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300K+ personas; 50+ countries; self-serve</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Qualtrics Edge Audiences</w:t>
            </w:r>
          </w:p>
        </w:tc>
        <w:tc>
          <w:tcPr>
            <w:tcW w:type="dxa" w:w="1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N/A (built-in)</w:t>
            </w:r>
          </w:p>
        </w:tc>
        <w:tc>
          <w:tcPr>
            <w:tcW w:type="dxa" w:w="2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Synthetic toggle on existing platform</w:t>
            </w:r>
          </w:p>
        </w:tc>
        <w:tc>
          <w:tcPr>
            <w:tcW w:type="dxa" w:w="3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70M+ real panel base; Booking.com saves 50%</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Toluna HarmonAIze</w:t>
            </w:r>
          </w:p>
        </w:tc>
        <w:tc>
          <w:tcPr>
            <w:tcW w:type="dxa" w:w="15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N/A (built-in)</w:t>
            </w:r>
          </w:p>
        </w:tc>
        <w:tc>
          <w:tcPr>
            <w:tcW w:type="dxa" w:w="25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Synthetic from 79M real panelists</w:t>
            </w:r>
          </w:p>
        </w:tc>
        <w:tc>
          <w:tcPr>
            <w:tcW w:type="dxa" w:w="3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1M+ personas; 15 markets; 9 languages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2"/>
              <w:bottom w:val="single" w:color="2E86C1" w:sz="1"/>
              <w:right w:val="single" w:color="2E86C1" w:sz="1"/>
            </w:tcBorders>
            <w:shd w:fill="EBF5FB" w:val="clear"/>
            <w:tcMar>
              <w:top w:type="dxa" w:w="120"/>
              <w:left w:type="dxa" w:w="200"/>
              <w:bottom w:type="dxa" w:w="120"/>
              <w:right w:type="dxa" w:w="200"/>
            </w:tcMar>
          </w:tcPr>
          <w:p>
            <w:pPr>
              <w:spacing w:after="80"/>
            </w:pPr>
            <w:r>
              <w:rPr>
                <w:rFonts w:ascii="Arial" w:cs="Arial" w:eastAsia="Arial" w:hAnsi="Arial"/>
                <w:b/>
                <w:bCs/>
                <w:color w:val="2E86C1"/>
                <w:sz w:val="22"/>
                <w:szCs w:val="22"/>
              </w:rPr>
              <w:t xml:space="preserve">VP PRODUCT PERSPECTIVE</w:t>
            </w:r>
          </w:p>
          <w:p>
            <w:pPr>
              <w:spacing w:after="60" w:line="276"/>
            </w:pPr>
            <w:r>
              <w:rPr>
                <w:rFonts w:ascii="Arial" w:cs="Arial" w:eastAsia="Arial" w:hAnsi="Arial"/>
                <w:color w:val="2C3E50"/>
                <w:sz w:val="20"/>
                <w:szCs w:val="20"/>
              </w:rPr>
              <w:t xml:space="preserve">The market is splitting into three philosophical camps: (1) Grounded simulators that require real human data (Simile, Listen Labs), (2) Pure synthetic generators that create populations entirely from AI (Aaru), and (3) Workflow integrators that embed synthetic capabilities into existing tools (Qualtrics, Ditto). InsightForge’s hybrid model — real participants AND synthetic twins — puts us in a unique fourth position. We’re the only platform building both sides of the equation, which means our twins can be continuously calibrated against our own real-participant data. This is a structural moat that no pure-play synthetic company can replicate.</w:t>
            </w:r>
          </w:p>
        </w:tc>
      </w:tr>
    </w:tbl>
    <w:p>
      <w:pPr>
        <w:spacing w:after="100"/>
      </w:pPr>
    </w:p>
    <w:p>
      <w:pPr>
        <w:pStyle w:val="Heading2"/>
      </w:pPr>
      <w:r>
        <w:t xml:space="preserve">2.2 The Accuracy Question</w:t>
      </w:r>
    </w:p>
    <w:p>
      <w:pPr>
        <w:spacing w:after="120" w:line="276"/>
      </w:pPr>
      <w:r>
        <w:t xml:space="preserve">Digital twins are not a solved problem. Current industry accuracy benchmarks vary significantly based on methodology and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600"/>
        <w:gridCol w:w="3360"/>
      </w:tblGrid>
      <w:tr>
        <w:trPr>
          <w:tblHeader/>
        </w:trPr>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Method</w:t>
            </w:r>
          </w:p>
        </w:tc>
        <w:tc>
          <w:tcPr>
            <w:tcW w:type="dxa" w:w="1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Accuracy</w:t>
            </w:r>
          </w:p>
        </w:tc>
        <w:tc>
          <w:tcPr>
            <w:tcW w:type="dxa" w:w="26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Best Use Case</w:t>
            </w:r>
          </w:p>
        </w:tc>
        <w:tc>
          <w:tcPr>
            <w:tcW w:type="dxa" w:w="33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Limitation</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Interview-based digital twins</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80–85%</w:t>
            </w:r>
          </w:p>
        </w:tc>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Survey prediction, behavioral forecasting</w:t>
            </w:r>
          </w:p>
        </w:tc>
        <w:tc>
          <w:tcPr>
            <w:tcW w:type="dxa" w:w="3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Requires extensive 1:1 interviews</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Synthetic (demographic-only)</w:t>
            </w:r>
          </w:p>
        </w:tc>
        <w:tc>
          <w:tcPr>
            <w:tcW w:type="dxa" w:w="1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55–65%</w:t>
            </w:r>
          </w:p>
        </w:tc>
        <w:tc>
          <w:tcPr>
            <w:tcW w:type="dxa" w:w="2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Directional trends, hypothesis generation</w:t>
            </w:r>
          </w:p>
        </w:tc>
        <w:tc>
          <w:tcPr>
            <w:tcW w:type="dxa" w:w="3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Misses individual nuance</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RAG-enhanced synthetic</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65–75%</w:t>
            </w:r>
          </w:p>
        </w:tc>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Brand-specific insights</w:t>
            </w:r>
          </w:p>
        </w:tc>
        <w:tc>
          <w:tcPr>
            <w:tcW w:type="dxa" w:w="3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Quality depends on proprietary data</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Persona-based models</w:t>
            </w:r>
          </w:p>
        </w:tc>
        <w:tc>
          <w:tcPr>
            <w:tcW w:type="dxa" w:w="1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60–70%</w:t>
            </w:r>
          </w:p>
        </w:tc>
        <w:tc>
          <w:tcPr>
            <w:tcW w:type="dxa" w:w="2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Quick concept testing</w:t>
            </w:r>
          </w:p>
        </w:tc>
        <w:tc>
          <w:tcPr>
            <w:tcW w:type="dxa" w:w="3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Captures trends but not magnitude</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Hybrid (synthetic + human validation)</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85–90%</w:t>
            </w:r>
          </w:p>
        </w:tc>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High-stakes decisions</w:t>
            </w:r>
          </w:p>
        </w:tc>
        <w:tc>
          <w:tcPr>
            <w:tcW w:type="dxa" w:w="3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Requires both AI and human workflow</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E44AD" w:sz="1"/>
              <w:left w:val="single" w:color="8E44AD" w:sz="12"/>
              <w:bottom w:val="single" w:color="8E44AD" w:sz="1"/>
              <w:right w:val="single" w:color="8E44AD" w:sz="1"/>
            </w:tcBorders>
            <w:shd w:fill="F4ECF7" w:val="clear"/>
            <w:tcMar>
              <w:top w:type="dxa" w:w="120"/>
              <w:left w:type="dxa" w:w="200"/>
              <w:bottom w:type="dxa" w:w="120"/>
              <w:right w:type="dxa" w:w="200"/>
            </w:tcMar>
          </w:tcPr>
          <w:p>
            <w:pPr>
              <w:spacing w:after="80"/>
            </w:pPr>
            <w:r>
              <w:rPr>
                <w:rFonts w:ascii="Arial" w:cs="Arial" w:eastAsia="Arial" w:hAnsi="Arial"/>
                <w:b/>
                <w:bCs/>
                <w:color w:val="8E44AD"/>
                <w:sz w:val="22"/>
                <w:szCs w:val="22"/>
              </w:rPr>
              <w:t xml:space="preserve">CTO PERSPECTIVE</w:t>
            </w:r>
          </w:p>
          <w:p>
            <w:pPr>
              <w:spacing w:after="60" w:line="276"/>
            </w:pPr>
            <w:r>
              <w:rPr>
                <w:rFonts w:ascii="Arial" w:cs="Arial" w:eastAsia="Arial" w:hAnsi="Arial"/>
                <w:color w:val="2C3E50"/>
                <w:sz w:val="20"/>
                <w:szCs w:val="20"/>
              </w:rPr>
              <w:t xml:space="preserve">The accuracy data reveals a crucial insight: the highest-performing approaches (80–90%) ALL require grounding in real human data. InsightForge already collects this data through its existing survey and focus group workflows. Every completed study generates training data for digital twins. This means we have a compounding data advantage that gets stronger with every project our platform runs. The technical challenge isn’t building twins — it’s building the data pipeline that continuously improves them.</w:t>
            </w:r>
          </w:p>
        </w:tc>
      </w:tr>
    </w:tbl>
    <w:p>
      <w:pPr>
        <w:pStyle w:val="Heading2"/>
      </w:pPr>
      <w:r>
        <w:t xml:space="preserve">2.3 The MENA Blind Spot</w:t>
      </w:r>
    </w:p>
    <w:p>
      <w:pPr>
        <w:spacing w:after="120" w:line="276"/>
      </w:pPr>
      <w:r>
        <w:t xml:space="preserve">Every major synthetic research platform in 2026 is built for Western consumer populations. Simile’s validation is on the US General Social Survey. Ditto covers 50+ countries but calibrates against Western census data. Qualtrics Edge Audiences launched with US General Population only. Toluna’s 15 markets are predominantly European.</w:t>
      </w:r>
    </w:p>
    <w:p>
      <w:pPr>
        <w:spacing w:after="120" w:line="276"/>
      </w:pPr>
      <w:r>
        <w:t xml:space="preserve">This creates an enormous opportunity gap. MENA consumer behavior is fundamentally different from Western patterns in ways that generic LLMs cannot replicate: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360"/>
      </w:tblGrid>
      <w:tr>
        <w:trPr>
          <w:tblHeader/>
        </w:trPr>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Behavioral Dimension</w:t>
            </w:r>
          </w:p>
        </w:tc>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Western Default</w:t>
            </w:r>
          </w:p>
        </w:tc>
        <w:tc>
          <w:tcPr>
            <w:tcW w:type="dxa" w:w="24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MENA Reality</w:t>
            </w:r>
          </w:p>
        </w:tc>
        <w:tc>
          <w:tcPr>
            <w:tcW w:type="dxa" w:w="33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Twin Implication</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Purchase decision unit</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Individual</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Family/tribal collective</w:t>
            </w:r>
          </w:p>
        </w:tc>
        <w:tc>
          <w:tcPr>
            <w:tcW w:type="dxa" w:w="3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Must model family influence networks</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Brand trust formation</w:t>
            </w:r>
          </w:p>
        </w:tc>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Reviews, social proof</w:t>
            </w:r>
          </w:p>
        </w:tc>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Personal relationships, word-of-mouth</w:t>
            </w:r>
          </w:p>
        </w:tc>
        <w:tc>
          <w:tcPr>
            <w:tcW w:type="dxa" w:w="3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WhatsApp conversation patterns matter more than ratings</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Religious influence on consumption</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Minimal/seasonal</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Daily (halal, prayer times, Ramadan)</w:t>
            </w:r>
          </w:p>
        </w:tc>
        <w:tc>
          <w:tcPr>
            <w:tcW w:type="dxa" w:w="3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Decision models must incorporate Islamic calendar cycles</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Gender dynamics in shopping</w:t>
            </w:r>
          </w:p>
        </w:tc>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Generally integrated</w:t>
            </w:r>
          </w:p>
        </w:tc>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Often gender-separated contexts</w:t>
            </w:r>
          </w:p>
        </w:tc>
        <w:tc>
          <w:tcPr>
            <w:tcW w:type="dxa" w:w="3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Twins need gender-aware scenario modeling</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Language cognition</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English-primary</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Arabic-primary, code-switching</w:t>
            </w:r>
          </w:p>
        </w:tc>
        <w:tc>
          <w:tcPr>
            <w:tcW w:type="dxa" w:w="3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Arabic NLP is 3–5 years behind English NLP</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Seasonal patterns</w:t>
            </w:r>
          </w:p>
        </w:tc>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Christmas/Black Friday</w:t>
            </w:r>
          </w:p>
        </w:tc>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Ramadan, Eid, Hajj, National Days</w:t>
            </w:r>
          </w:p>
        </w:tc>
        <w:tc>
          <w:tcPr>
            <w:tcW w:type="dxa" w:w="3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Hijri calendar must drive temporal modeling</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Digital adoption patterns</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App-first, multi-platform</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WhatsApp-dominant, Instagram-heavy</w:t>
            </w:r>
          </w:p>
        </w:tc>
        <w:tc>
          <w:tcPr>
            <w:tcW w:type="dxa" w:w="3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Channel mix modeling must reflect MENA reality</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Price sensitivity expression</w:t>
            </w:r>
          </w:p>
        </w:tc>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Direct comparison</w:t>
            </w:r>
          </w:p>
        </w:tc>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Value/status signaling</w:t>
            </w:r>
          </w:p>
        </w:tc>
        <w:tc>
          <w:tcPr>
            <w:tcW w:type="dxa" w:w="3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Price elasticity models need prestige weighting</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12"/>
              <w:bottom w:val="single" w:color="27AE60" w:sz="1"/>
              <w:right w:val="single" w:color="27AE60" w:sz="1"/>
            </w:tcBorders>
            <w:shd w:fill="E8F8F5" w:val="clear"/>
            <w:tcMar>
              <w:top w:type="dxa" w:w="120"/>
              <w:left w:type="dxa" w:w="200"/>
              <w:bottom w:type="dxa" w:w="120"/>
              <w:right w:type="dxa" w:w="200"/>
            </w:tcMar>
          </w:tcPr>
          <w:p>
            <w:pPr>
              <w:spacing w:after="80"/>
            </w:pPr>
            <w:r>
              <w:rPr>
                <w:rFonts w:ascii="Arial" w:cs="Arial" w:eastAsia="Arial" w:hAnsi="Arial"/>
                <w:b/>
                <w:bCs/>
                <w:color w:val="27AE60"/>
                <w:sz w:val="22"/>
                <w:szCs w:val="22"/>
              </w:rPr>
              <w:t xml:space="preserve">HEAD OF UX PERSPECTIVE</w:t>
            </w:r>
          </w:p>
          <w:p>
            <w:pPr>
              <w:spacing w:after="60" w:line="276"/>
            </w:pPr>
            <w:r>
              <w:rPr>
                <w:rFonts w:ascii="Arial" w:cs="Arial" w:eastAsia="Arial" w:hAnsi="Arial"/>
                <w:color w:val="2C3E50"/>
                <w:sz w:val="20"/>
                <w:szCs w:val="20"/>
              </w:rPr>
              <w:t xml:space="preserve">This table isn’t just a competitive analysis — it’s our product roadmap. Every row represents a feature that Western competitors literally cannot build without deep MENA cultural expertise. Our ad agency research leads in the MENA region know these behavioral realities intimately. When we show them a Digital Twin that understands Ramadan shopping patterns, family decision hierarchies, and Arabic-first sentiment analysis, they’ll immediately grasp the value because they live these realities daily. This is the UX challenge: making cultural sophistication feel effortless, not academic.</w:t>
            </w:r>
          </w:p>
        </w:tc>
      </w:tr>
    </w:tbl>
    <w:p>
      <w:r>
        <w:br w:type="page"/>
      </w:r>
    </w:p>
    <w:p>
      <w:pPr>
        <w:pStyle w:val="Heading1"/>
      </w:pPr>
      <w:r>
        <w:t xml:space="preserve">3. Strategic Positioning: The Hybrid Advantage</w:t>
      </w:r>
    </w:p>
    <w:p>
      <w:pPr>
        <w:pStyle w:val="Heading2"/>
      </w:pPr>
      <w:r>
        <w:t xml:space="preserve">3.1 Why Hybrid Wins</w:t>
      </w:r>
    </w:p>
    <w:p>
      <w:pPr>
        <w:spacing w:after="120" w:line="276"/>
      </w:pPr>
      <w:r>
        <w:t xml:space="preserve">InsightForge’s unique position in the market is that it operates both real-participant research AND synthetic simulation within the same platform. No other competitor offers this combination for the MENA region. This creates three structural advantages: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12"/>
              <w:bottom w:val="single" w:color="27AE60" w:sz="1"/>
              <w:right w:val="single" w:color="27AE60" w:sz="1"/>
            </w:tcBorders>
            <w:shd w:fill="E8F8F5" w:val="clear"/>
            <w:tcMar>
              <w:top w:type="dxa" w:w="120"/>
              <w:left w:type="dxa" w:w="200"/>
              <w:bottom w:type="dxa" w:w="120"/>
              <w:right w:type="dxa" w:w="200"/>
            </w:tcMar>
          </w:tcPr>
          <w:p>
            <w:pPr>
              <w:spacing w:after="80"/>
            </w:pPr>
            <w:r>
              <w:rPr>
                <w:rFonts w:ascii="Arial" w:cs="Arial" w:eastAsia="Arial" w:hAnsi="Arial"/>
                <w:b/>
                <w:bCs/>
                <w:color w:val="27AE60"/>
                <w:sz w:val="22"/>
                <w:szCs w:val="22"/>
              </w:rPr>
              <w:t xml:space="preserve">ADVANTAGE 1: CONTINUOUS CALIBRATION LOOP</w:t>
            </w:r>
          </w:p>
          <w:p>
            <w:pPr>
              <w:spacing w:after="60" w:line="276"/>
            </w:pPr>
            <w:r>
              <w:rPr>
                <w:rFonts w:ascii="Arial" w:cs="Arial" w:eastAsia="Arial" w:hAnsi="Arial"/>
                <w:color w:val="2C3E50"/>
                <w:sz w:val="20"/>
                <w:szCs w:val="20"/>
              </w:rPr>
              <w:t xml:space="preserve">Every real study conducted on InsightForge generates behavioral data that improves the digital twins. Every digital twin prediction can be validated against real participants in subsequent studies. This creates a flywheel where accuracy improves with usage — a compounding advantage that pure-play synthetic platforms cannot match because they lack the real-participant validation infrastructure.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2"/>
              <w:bottom w:val="single" w:color="2E86C1" w:sz="1"/>
              <w:right w:val="single" w:color="2E86C1" w:sz="1"/>
            </w:tcBorders>
            <w:shd w:fill="EBF5FB" w:val="clear"/>
            <w:tcMar>
              <w:top w:type="dxa" w:w="120"/>
              <w:left w:type="dxa" w:w="200"/>
              <w:bottom w:type="dxa" w:w="120"/>
              <w:right w:type="dxa" w:w="200"/>
            </w:tcMar>
          </w:tcPr>
          <w:p>
            <w:pPr>
              <w:spacing w:after="80"/>
            </w:pPr>
            <w:r>
              <w:rPr>
                <w:rFonts w:ascii="Arial" w:cs="Arial" w:eastAsia="Arial" w:hAnsi="Arial"/>
                <w:b/>
                <w:bCs/>
                <w:color w:val="2E86C1"/>
                <w:sz w:val="22"/>
                <w:szCs w:val="22"/>
              </w:rPr>
              <w:t xml:space="preserve">ADVANTAGE 2: TRUST ARCHITECTURE</w:t>
            </w:r>
          </w:p>
          <w:p>
            <w:pPr>
              <w:spacing w:after="60" w:line="276"/>
            </w:pPr>
            <w:r>
              <w:rPr>
                <w:rFonts w:ascii="Arial" w:cs="Arial" w:eastAsia="Arial" w:hAnsi="Arial"/>
                <w:color w:val="2C3E50"/>
                <w:sz w:val="20"/>
                <w:szCs w:val="20"/>
              </w:rPr>
              <w:t xml:space="preserve">Market researchers are skeptical of pure synthetic outputs (and rightly so). By positioning digital twins as a pre-study acceleration tool that ALWAYS leads to real-participant validation, InsightForge aligns with researcher instincts rather than fighting them. The message is: “Use twins to explore 100 directions in an hour, then validate the best 3 with real participants.” This is how 40 years of product experience tells us to introduce radical technology to conservative buyers.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E44AD" w:sz="1"/>
              <w:left w:val="single" w:color="8E44AD" w:sz="12"/>
              <w:bottom w:val="single" w:color="8E44AD" w:sz="1"/>
              <w:right w:val="single" w:color="8E44AD" w:sz="1"/>
            </w:tcBorders>
            <w:shd w:fill="F4ECF7" w:val="clear"/>
            <w:tcMar>
              <w:top w:type="dxa" w:w="120"/>
              <w:left w:type="dxa" w:w="200"/>
              <w:bottom w:type="dxa" w:w="120"/>
              <w:right w:type="dxa" w:w="200"/>
            </w:tcMar>
          </w:tcPr>
          <w:p>
            <w:pPr>
              <w:spacing w:after="80"/>
            </w:pPr>
            <w:r>
              <w:rPr>
                <w:rFonts w:ascii="Arial" w:cs="Arial" w:eastAsia="Arial" w:hAnsi="Arial"/>
                <w:b/>
                <w:bCs/>
                <w:color w:val="8E44AD"/>
                <w:sz w:val="22"/>
                <w:szCs w:val="22"/>
              </w:rPr>
              <w:t xml:space="preserve">ADVANTAGE 3: DATA MOAT ACCELERATION</w:t>
            </w:r>
          </w:p>
          <w:p>
            <w:pPr>
              <w:spacing w:after="60" w:line="276"/>
            </w:pPr>
            <w:r>
              <w:rPr>
                <w:rFonts w:ascii="Arial" w:cs="Arial" w:eastAsia="Arial" w:hAnsi="Arial"/>
                <w:color w:val="2C3E50"/>
                <w:sz w:val="20"/>
                <w:szCs w:val="20"/>
              </w:rPr>
              <w:t xml:space="preserve">The MENA Benchmarking Database (already identified as a platform-defining feature scored 6/6) becomes dramatically more valuable when paired with digital twins. Real benchmark data trains the twins. Twin predictions surface gaps in the benchmark data. The database and the twins co-evolve, creating a proprietary data asset that becomes nearly impossible to replicate.</w:t>
            </w:r>
          </w:p>
        </w:tc>
      </w:tr>
    </w:tbl>
    <w:p>
      <w:pPr>
        <w:spacing w:after="100"/>
      </w:pPr>
    </w:p>
    <w:p>
      <w:pPr>
        <w:pStyle w:val="Heading2"/>
      </w:pPr>
      <w:r>
        <w:t xml:space="preserve">3.2 How It Fits the Existing Platform (Non-Destructive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1"/>
              <w:left w:val="single" w:color="F39C12" w:sz="12"/>
              <w:bottom w:val="single" w:color="F39C12" w:sz="1"/>
              <w:right w:val="single" w:color="F39C12" w:sz="1"/>
            </w:tcBorders>
            <w:shd w:fill="FEF9E7" w:val="clear"/>
            <w:tcMar>
              <w:top w:type="dxa" w:w="120"/>
              <w:left w:type="dxa" w:w="200"/>
              <w:bottom w:type="dxa" w:w="120"/>
              <w:right w:type="dxa" w:w="200"/>
            </w:tcMar>
          </w:tcPr>
          <w:p>
            <w:pPr>
              <w:spacing w:after="80"/>
            </w:pPr>
            <w:r>
              <w:rPr>
                <w:rFonts w:ascii="Arial" w:cs="Arial" w:eastAsia="Arial" w:hAnsi="Arial"/>
                <w:b/>
                <w:bCs/>
                <w:color w:val="F39C12"/>
                <w:sz w:val="22"/>
                <w:szCs w:val="22"/>
              </w:rPr>
              <w:t xml:space="preserve">✅ INTEGRATION PRINCIPLE: ADDITIVE ONLY</w:t>
            </w:r>
          </w:p>
          <w:p>
            <w:pPr>
              <w:spacing w:after="60" w:line="276"/>
            </w:pPr>
            <w:r>
              <w:rPr>
                <w:rFonts w:ascii="Arial" w:cs="Arial" w:eastAsia="Arial" w:hAnsi="Arial"/>
                <w:color w:val="2C3E50"/>
                <w:sz w:val="20"/>
                <w:szCs w:val="20"/>
              </w:rPr>
              <w:t xml:space="preserve">The Digital Twin module is a new, self-contained feature layer that plugs into the existing InsightForge architecture. It does NOT modify any existing workflow, database schema (beyond additive nullable foreign keys), or UI pattern. It is accessed through a new tab/section within the Research Project lifecycle container, sitting alongside — never replacing — the existing survey, focus group, and IDI tools.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Existing InsightForge Layer</w:t>
            </w:r>
          </w:p>
        </w:tc>
        <w:tc>
          <w:tcPr>
            <w:tcW w:type="dxa" w:w="358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Unchanged (Protected)</w:t>
            </w:r>
          </w:p>
        </w:tc>
        <w:tc>
          <w:tcPr>
            <w:tcW w:type="dxa" w:w="358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New Twin Addition</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Super Admin Portal</w:t>
            </w:r>
          </w:p>
        </w:tc>
        <w:tc>
          <w:tcPr>
            <w:tcW w:type="dxa" w:w="35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All tenant management, billing, template library</w:t>
            </w:r>
          </w:p>
        </w:tc>
        <w:tc>
          <w:tcPr>
            <w:tcW w:type="dxa" w:w="35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Twin Model Library admin, accuracy dashboards</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Tenant Admin Dashboard</w:t>
            </w:r>
          </w:p>
        </w:tc>
        <w:tc>
          <w:tcPr>
            <w:tcW w:type="dxa" w:w="35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User management, workspace config, project settings</w:t>
            </w:r>
          </w:p>
        </w:tc>
        <w:tc>
          <w:tcPr>
            <w:tcW w:type="dxa" w:w="35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Twin feature toggle per workspace, data consent settings</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User Dashboard</w:t>
            </w:r>
          </w:p>
        </w:tc>
        <w:tc>
          <w:tcPr>
            <w:tcW w:type="dxa" w:w="35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Survey builder, focus group scheduler, video IDI, recruitment</w:t>
            </w:r>
          </w:p>
        </w:tc>
        <w:tc>
          <w:tcPr>
            <w:tcW w:type="dxa" w:w="35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New "Synthetic Lab" tab within project container</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Survey Engine</w:t>
            </w:r>
          </w:p>
        </w:tc>
        <w:tc>
          <w:tcPr>
            <w:tcW w:type="dxa" w:w="35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Template-first generation, human review, distribution</w:t>
            </w:r>
          </w:p>
        </w:tc>
        <w:tc>
          <w:tcPr>
            <w:tcW w:type="dxa" w:w="35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Pre-test surveys with twins before live distribution</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Focus Group Module</w:t>
            </w:r>
          </w:p>
        </w:tc>
        <w:tc>
          <w:tcPr>
            <w:tcW w:type="dxa" w:w="35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Twilio video, moderator controls, AI probing suggestions</w:t>
            </w:r>
          </w:p>
        </w:tc>
        <w:tc>
          <w:tcPr>
            <w:tcW w:type="dxa" w:w="35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Pre-simulate focus group dynamics before scheduling real sessions</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Recruitment System</w:t>
            </w:r>
          </w:p>
        </w:tc>
        <w:tc>
          <w:tcPr>
            <w:tcW w:type="dxa" w:w="35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WhatsApp-native, screener/quota management</w:t>
            </w:r>
          </w:p>
        </w:tc>
        <w:tc>
          <w:tcPr>
            <w:tcW w:type="dxa" w:w="35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AI-recommended screener criteria based on twin simulations</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Analysis Pipeline</w:t>
            </w:r>
          </w:p>
        </w:tc>
        <w:tc>
          <w:tcPr>
            <w:tcW w:type="dxa" w:w="35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Text sentiment, transcript analysis, insight generation</w:t>
            </w:r>
          </w:p>
        </w:tc>
        <w:tc>
          <w:tcPr>
            <w:tcW w:type="dxa" w:w="35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Twin-predicted vs. actual comparison reports</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Export System</w:t>
            </w:r>
          </w:p>
        </w:tc>
        <w:tc>
          <w:tcPr>
            <w:tcW w:type="dxa" w:w="35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PowerPoint, SPSS, Excel</w:t>
            </w:r>
          </w:p>
        </w:tc>
        <w:tc>
          <w:tcPr>
            <w:tcW w:type="dxa" w:w="35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Twin simulation results included in existing export formats</w:t>
            </w:r>
          </w:p>
        </w:tc>
      </w:tr>
    </w:tbl>
    <w:p>
      <w:r>
        <w:br w:type="page"/>
      </w:r>
    </w:p>
    <w:p>
      <w:pPr>
        <w:pStyle w:val="Heading1"/>
      </w:pPr>
      <w:r>
        <w:t xml:space="preserve">4. Product Vision: The Synthetic Lab</w:t>
      </w:r>
    </w:p>
    <w:p>
      <w:pPr>
        <w:pStyle w:val="Heading2"/>
      </w:pPr>
      <w:r>
        <w:t xml:space="preserve">4.1 Core Concept</w:t>
      </w:r>
    </w:p>
    <w:p>
      <w:pPr>
        <w:spacing w:after="120" w:line="276"/>
      </w:pPr>
      <w:r>
        <w:t xml:space="preserve">The Synthetic Lab is a new module within InsightForge’s Research Project container. It provides researchers with the ability to create, configure, and interrogate digital consumer twins before, during, or after real-participant research. It is explicitly positioned as a hypothesis generation and pre-testing tool, never as a replacement for real participants.</w:t>
      </w:r>
    </w:p>
    <w:p>
      <w:pPr>
        <w:pStyle w:val="Heading2"/>
      </w:pPr>
      <w:r>
        <w:t xml:space="preserve">4.2 Three Modes of Operation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2"/>
              <w:bottom w:val="single" w:color="2E86C1" w:sz="1"/>
              <w:right w:val="single" w:color="2E86C1" w:sz="1"/>
            </w:tcBorders>
            <w:shd w:fill="EBF5FB" w:val="clear"/>
            <w:tcMar>
              <w:top w:type="dxa" w:w="120"/>
              <w:left w:type="dxa" w:w="200"/>
              <w:bottom w:type="dxa" w:w="120"/>
              <w:right w:type="dxa" w:w="200"/>
            </w:tcMar>
          </w:tcPr>
          <w:p>
            <w:pPr>
              <w:spacing w:after="80"/>
            </w:pPr>
            <w:r>
              <w:rPr>
                <w:rFonts w:ascii="Arial" w:cs="Arial" w:eastAsia="Arial" w:hAnsi="Arial"/>
                <w:b/>
                <w:bCs/>
                <w:color w:val="2E86C1"/>
                <w:sz w:val="22"/>
                <w:szCs w:val="22"/>
              </w:rPr>
              <w:t xml:space="preserve">MODE 1: PRE-STUDY EXPLORATION ("What should we ask?")</w:t>
            </w:r>
          </w:p>
          <w:p>
            <w:pPr>
              <w:spacing w:after="60" w:line="276"/>
            </w:pPr>
            <w:r>
              <w:rPr>
                <w:rFonts w:ascii="Arial" w:cs="Arial" w:eastAsia="Arial" w:hAnsi="Arial"/>
                <w:color w:val="2C3E50"/>
                <w:sz w:val="20"/>
                <w:szCs w:val="20"/>
              </w:rPr>
              <w:t xml:space="preserve">Before a researcher designs a survey or recruits focus group participants, they can spin up a synthetic panel of MENA digital twins and run exploratory conversations. This helps surface unexpected insights, refine hypotheses, optimize discussion guides, and identify the right screener criteria — all before spending a single dollar on real recruitment.</w:t>
            </w:r>
          </w:p>
          <w:p>
            <w:pPr>
              <w:spacing w:after="60" w:line="276"/>
            </w:pPr>
            <w:r>
              <w:rPr>
                <w:rFonts w:ascii="Arial" w:cs="Arial" w:eastAsia="Arial" w:hAnsi="Arial"/>
                <w:color w:val="2C3E50"/>
                <w:sz w:val="20"/>
                <w:szCs w:val="20"/>
              </w:rPr>
              <w:t xml:space="preserve"/>
            </w:r>
          </w:p>
          <w:p>
            <w:pPr>
              <w:spacing w:after="60" w:line="276"/>
            </w:pPr>
            <w:r>
              <w:rPr>
                <w:rFonts w:ascii="Arial" w:cs="Arial" w:eastAsia="Arial" w:hAnsi="Arial"/>
                <w:color w:val="2C3E50"/>
                <w:sz w:val="20"/>
                <w:szCs w:val="20"/>
              </w:rPr>
              <w:t xml:space="preserve">Use cases: Discussion guide optimization, screener refinement, stimulus material pre-testing, research design validation, concept prioritization (narrow 20 concepts to 5 before testing with real participants).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12"/>
              <w:bottom w:val="single" w:color="27AE60" w:sz="1"/>
              <w:right w:val="single" w:color="27AE60" w:sz="1"/>
            </w:tcBorders>
            <w:shd w:fill="E8F8F5" w:val="clear"/>
            <w:tcMar>
              <w:top w:type="dxa" w:w="120"/>
              <w:left w:type="dxa" w:w="200"/>
              <w:bottom w:type="dxa" w:w="120"/>
              <w:right w:type="dxa" w:w="200"/>
            </w:tcMar>
          </w:tcPr>
          <w:p>
            <w:pPr>
              <w:spacing w:after="80"/>
            </w:pPr>
            <w:r>
              <w:rPr>
                <w:rFonts w:ascii="Arial" w:cs="Arial" w:eastAsia="Arial" w:hAnsi="Arial"/>
                <w:b/>
                <w:bCs/>
                <w:color w:val="27AE60"/>
                <w:sz w:val="22"/>
                <w:szCs w:val="22"/>
              </w:rPr>
              <w:t xml:space="preserve">MODE 2: PARALLEL SIMULATION ("What might we find?")</w:t>
            </w:r>
          </w:p>
          <w:p>
            <w:pPr>
              <w:spacing w:after="60" w:line="276"/>
            </w:pPr>
            <w:r>
              <w:rPr>
                <w:rFonts w:ascii="Arial" w:cs="Arial" w:eastAsia="Arial" w:hAnsi="Arial"/>
                <w:color w:val="2C3E50"/>
                <w:sz w:val="20"/>
                <w:szCs w:val="20"/>
              </w:rPr>
              <w:t xml:space="preserve">While a real study is in-field, researchers can run the same questions through digital twins simultaneously. This provides an early directional signal before all real responses are collected, and highlights areas where synthetic and real responses diverge — which are often the most interesting findings.</w:t>
            </w:r>
          </w:p>
          <w:p>
            <w:pPr>
              <w:spacing w:after="60" w:line="276"/>
            </w:pPr>
            <w:r>
              <w:rPr>
                <w:rFonts w:ascii="Arial" w:cs="Arial" w:eastAsia="Arial" w:hAnsi="Arial"/>
                <w:color w:val="2C3E50"/>
                <w:sz w:val="20"/>
                <w:szCs w:val="20"/>
              </w:rPr>
              <w:t xml:space="preserve"/>
            </w:r>
          </w:p>
          <w:p>
            <w:pPr>
              <w:spacing w:after="60" w:line="276"/>
            </w:pPr>
            <w:r>
              <w:rPr>
                <w:rFonts w:ascii="Arial" w:cs="Arial" w:eastAsia="Arial" w:hAnsi="Arial"/>
                <w:color w:val="2C3E50"/>
                <w:sz w:val="20"/>
                <w:szCs w:val="20"/>
              </w:rPr>
              <w:t xml:space="preserve">Use cases: Early trend detection, fieldwork quality control (if twins and humans diverge dramatically, something may be wrong with the real study design), real-time hypothesis refinement.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E44AD" w:sz="1"/>
              <w:left w:val="single" w:color="8E44AD" w:sz="12"/>
              <w:bottom w:val="single" w:color="8E44AD" w:sz="1"/>
              <w:right w:val="single" w:color="8E44AD" w:sz="1"/>
            </w:tcBorders>
            <w:shd w:fill="F4ECF7" w:val="clear"/>
            <w:tcMar>
              <w:top w:type="dxa" w:w="120"/>
              <w:left w:type="dxa" w:w="200"/>
              <w:bottom w:type="dxa" w:w="120"/>
              <w:right w:type="dxa" w:w="200"/>
            </w:tcMar>
          </w:tcPr>
          <w:p>
            <w:pPr>
              <w:spacing w:after="80"/>
            </w:pPr>
            <w:r>
              <w:rPr>
                <w:rFonts w:ascii="Arial" w:cs="Arial" w:eastAsia="Arial" w:hAnsi="Arial"/>
                <w:b/>
                <w:bCs/>
                <w:color w:val="8E44AD"/>
                <w:sz w:val="22"/>
                <w:szCs w:val="22"/>
              </w:rPr>
              <w:t xml:space="preserve">MODE 3: POST-STUDY EXTENSION ("What else could we learn?")</w:t>
            </w:r>
          </w:p>
          <w:p>
            <w:pPr>
              <w:spacing w:after="60" w:line="276"/>
            </w:pPr>
            <w:r>
              <w:rPr>
                <w:rFonts w:ascii="Arial" w:cs="Arial" w:eastAsia="Arial" w:hAnsi="Arial"/>
                <w:color w:val="2C3E50"/>
                <w:sz w:val="20"/>
                <w:szCs w:val="20"/>
              </w:rPr>
              <w:t xml:space="preserve">After a real study is completed, researchers can use the validated findings to calibrate digital twins and then explore adjacent questions without re-fielding. The real study data becomes the calibration anchor, ensuring twin outputs in the extension phase are grounded in validated reality.</w:t>
            </w:r>
          </w:p>
          <w:p>
            <w:pPr>
              <w:spacing w:after="60" w:line="276"/>
            </w:pPr>
            <w:r>
              <w:rPr>
                <w:rFonts w:ascii="Arial" w:cs="Arial" w:eastAsia="Arial" w:hAnsi="Arial"/>
                <w:color w:val="2C3E50"/>
                <w:sz w:val="20"/>
                <w:szCs w:val="20"/>
              </w:rPr>
              <w:t xml:space="preserve"/>
            </w:r>
          </w:p>
          <w:p>
            <w:pPr>
              <w:spacing w:after="60" w:line="276"/>
            </w:pPr>
            <w:r>
              <w:rPr>
                <w:rFonts w:ascii="Arial" w:cs="Arial" w:eastAsia="Arial" w:hAnsi="Arial"/>
                <w:color w:val="2C3E50"/>
                <w:sz w:val="20"/>
                <w:szCs w:val="20"/>
              </w:rPr>
              <w:t xml:space="preserve">Use cases: Follow-up hypothesis exploration, segment deep-dives on undersampled groups, what-if scenario testing (e.g., “What if we changed the price by 15%?”), client presentation preparation (anticipate stakeholder questions).</w:t>
            </w:r>
          </w:p>
        </w:tc>
      </w:tr>
    </w:tbl>
    <w:p>
      <w:pPr>
        <w:spacing w:after="100"/>
      </w:pPr>
    </w:p>
    <w:p>
      <w:pPr>
        <w:pStyle w:val="Heading2"/>
      </w:pPr>
      <w:r>
        <w:t xml:space="preserve">4.3 MENA-Specific Twin Capabilities (The Uncopyable Moat)</w:t>
      </w:r>
    </w:p>
    <w:p>
      <w:pPr>
        <w:spacing w:after="120" w:line="276"/>
      </w:pPr>
      <w:r>
        <w:t xml:space="preserve">These are capabilities that no Western synthetic research platform currently offers and that require deep MENA domain expertise to build correctly. This is InsightForge’s structural competitive advantage.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1"/>
              <w:left w:val="single" w:color="1B4F72" w:sz="8"/>
              <w:bottom w:val="none" w:sz="0"/>
              <w:right w:val="single" w:color="1B4F72" w:sz="1"/>
            </w:tcBorders>
            <w:shd w:fill="D4E6F1" w:val="clear"/>
            <w:tcMar>
              <w:top w:type="dxa" w:w="80"/>
              <w:left w:type="dxa" w:w="200"/>
              <w:bottom w:type="dxa" w:w="40"/>
              <w:right w:type="dxa" w:w="200"/>
            </w:tcMar>
          </w:tcPr>
          <w:p>
            <w:r>
              <w:rPr>
                <w:rFonts w:ascii="Arial" w:cs="Arial" w:eastAsia="Arial" w:hAnsi="Arial"/>
                <w:b/>
                <w:bCs/>
                <w:color w:val="1B4F72"/>
                <w:sz w:val="22"/>
                <w:szCs w:val="22"/>
              </w:rPr>
              <w:t xml:space="preserve">Arabic-First Cognitive Modeling</w:t>
            </w:r>
          </w:p>
        </w:tc>
      </w:tr>
      <w:tr>
        <w:tc>
          <w:tcPr>
            <w:tcW w:type="dxa" w:w="9360"/>
            <w:tcBorders>
              <w:top w:val="none" w:sz="0"/>
              <w:left w:val="single" w:color="1B4F72" w:sz="8"/>
              <w:bottom w:val="none" w:sz="0"/>
              <w:right w:val="single" w:color="1B4F72" w:sz="1"/>
            </w:tcBorders>
            <w:shd w:fill="EBF5FB" w:val="clear"/>
            <w:tcMar>
              <w:top w:type="dxa" w:w="40"/>
              <w:left w:type="dxa" w:w="200"/>
              <w:bottom w:type="dxa" w:w="40"/>
              <w:right w:type="dxa" w:w="200"/>
            </w:tcMar>
          </w:tcPr>
          <w:p>
            <w:pPr>
              <w:spacing w:line="276"/>
            </w:pPr>
            <w:r>
              <w:rPr>
                <w:rFonts w:ascii="Arial" w:cs="Arial" w:eastAsia="Arial" w:hAnsi="Arial"/>
                <w:color w:val="2C3E50"/>
                <w:sz w:val="20"/>
                <w:szCs w:val="20"/>
              </w:rPr>
              <w:t xml:space="preserve">Twins think and respond in Arabic natively (MSA + dialects: Gulf, Egyptian, Levantine, Maghrebi). Sentiment and emotion are modeled in Arabic semantic space, not translated from English. Arabic sarcasm, idioms, and cultural references are embedded in the response generation.</w:t>
            </w:r>
          </w:p>
        </w:tc>
      </w:tr>
      <w:tr>
        <w:tc>
          <w:tcPr>
            <w:tcW w:type="dxa" w:w="9360"/>
            <w:tcBorders>
              <w:top w:val="none" w:sz="0"/>
              <w:left w:val="single" w:color="1B4F72" w:sz="8"/>
              <w:bottom w:val="single" w:color="1B4F72" w:sz="1"/>
              <w:right w:val="single" w:color="1B4F72" w:sz="1"/>
            </w:tcBorders>
            <w:shd w:fill="E8F8F5" w:val="clear"/>
            <w:tcMar>
              <w:top w:type="dxa" w:w="40"/>
              <w:left w:type="dxa" w:w="200"/>
              <w:bottom w:type="dxa" w:w="80"/>
              <w:right w:type="dxa" w:w="200"/>
            </w:tcMar>
          </w:tcPr>
          <w:p>
            <w:pPr>
              <w:spacing w:line="276"/>
            </w:pPr>
            <w:r>
              <w:rPr>
                <w:rFonts w:ascii="Arial" w:cs="Arial" w:eastAsia="Arial" w:hAnsi="Arial"/>
                <w:b/>
                <w:bCs/>
                <w:color w:val="27AE60"/>
                <w:sz w:val="20"/>
                <w:szCs w:val="20"/>
              </w:rPr>
              <w:t xml:space="preserve">Moat: </w:t>
            </w:r>
            <w:r>
              <w:rPr>
                <w:rFonts w:ascii="Arial" w:cs="Arial" w:eastAsia="Arial" w:hAnsi="Arial"/>
                <w:color w:val="2C3E50"/>
                <w:sz w:val="20"/>
                <w:szCs w:val="20"/>
              </w:rPr>
              <w:t xml:space="preserve">No Western platform has Arabic-native cognition. They translate English outputs to Arabic, losing cultural nuance.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1"/>
              <w:left w:val="single" w:color="1B4F72" w:sz="8"/>
              <w:bottom w:val="none" w:sz="0"/>
              <w:right w:val="single" w:color="1B4F72" w:sz="1"/>
            </w:tcBorders>
            <w:shd w:fill="D4E6F1" w:val="clear"/>
            <w:tcMar>
              <w:top w:type="dxa" w:w="80"/>
              <w:left w:type="dxa" w:w="200"/>
              <w:bottom w:type="dxa" w:w="40"/>
              <w:right w:type="dxa" w:w="200"/>
            </w:tcMar>
          </w:tcPr>
          <w:p>
            <w:r>
              <w:rPr>
                <w:rFonts w:ascii="Arial" w:cs="Arial" w:eastAsia="Arial" w:hAnsi="Arial"/>
                <w:b/>
                <w:bCs/>
                <w:color w:val="1B4F72"/>
                <w:sz w:val="22"/>
                <w:szCs w:val="22"/>
              </w:rPr>
              <w:t xml:space="preserve">Islamic Decision Framework</w:t>
            </w:r>
          </w:p>
        </w:tc>
      </w:tr>
      <w:tr>
        <w:tc>
          <w:tcPr>
            <w:tcW w:type="dxa" w:w="9360"/>
            <w:tcBorders>
              <w:top w:val="none" w:sz="0"/>
              <w:left w:val="single" w:color="1B4F72" w:sz="8"/>
              <w:bottom w:val="none" w:sz="0"/>
              <w:right w:val="single" w:color="1B4F72" w:sz="1"/>
            </w:tcBorders>
            <w:shd w:fill="EBF5FB" w:val="clear"/>
            <w:tcMar>
              <w:top w:type="dxa" w:w="40"/>
              <w:left w:type="dxa" w:w="200"/>
              <w:bottom w:type="dxa" w:w="40"/>
              <w:right w:type="dxa" w:w="200"/>
            </w:tcMar>
          </w:tcPr>
          <w:p>
            <w:pPr>
              <w:spacing w:line="276"/>
            </w:pPr>
            <w:r>
              <w:rPr>
                <w:rFonts w:ascii="Arial" w:cs="Arial" w:eastAsia="Arial" w:hAnsi="Arial"/>
                <w:color w:val="2C3E50"/>
                <w:sz w:val="20"/>
                <w:szCs w:val="20"/>
              </w:rPr>
              <w:t xml:space="preserve">Purchase and brand decisions are filtered through an Islamic values layer: halal compliance assessment, modesty considerations in fashion/beauty, Ramadan consumption pattern shifts, Zakat/charity influence on financial decisions, Friday prayer timing impact on service usage.</w:t>
            </w:r>
          </w:p>
        </w:tc>
      </w:tr>
      <w:tr>
        <w:tc>
          <w:tcPr>
            <w:tcW w:type="dxa" w:w="9360"/>
            <w:tcBorders>
              <w:top w:val="none" w:sz="0"/>
              <w:left w:val="single" w:color="1B4F72" w:sz="8"/>
              <w:bottom w:val="single" w:color="1B4F72" w:sz="1"/>
              <w:right w:val="single" w:color="1B4F72" w:sz="1"/>
            </w:tcBorders>
            <w:shd w:fill="E8F8F5" w:val="clear"/>
            <w:tcMar>
              <w:top w:type="dxa" w:w="40"/>
              <w:left w:type="dxa" w:w="200"/>
              <w:bottom w:type="dxa" w:w="80"/>
              <w:right w:type="dxa" w:w="200"/>
            </w:tcMar>
          </w:tcPr>
          <w:p>
            <w:pPr>
              <w:spacing w:line="276"/>
            </w:pPr>
            <w:r>
              <w:rPr>
                <w:rFonts w:ascii="Arial" w:cs="Arial" w:eastAsia="Arial" w:hAnsi="Arial"/>
                <w:b/>
                <w:bCs/>
                <w:color w:val="27AE60"/>
                <w:sz w:val="20"/>
                <w:szCs w:val="20"/>
              </w:rPr>
              <w:t xml:space="preserve">Moat: </w:t>
            </w:r>
            <w:r>
              <w:rPr>
                <w:rFonts w:ascii="Arial" w:cs="Arial" w:eastAsia="Arial" w:hAnsi="Arial"/>
                <w:color w:val="2C3E50"/>
                <w:sz w:val="20"/>
                <w:szCs w:val="20"/>
              </w:rPr>
              <w:t xml:space="preserve">LLMs default to secular Western decision frameworks. Islamic values aren’t a filter — they’re a foundational cognitive architecture for 400M+ MENA consumers.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1"/>
              <w:left w:val="single" w:color="1B4F72" w:sz="8"/>
              <w:bottom w:val="none" w:sz="0"/>
              <w:right w:val="single" w:color="1B4F72" w:sz="1"/>
            </w:tcBorders>
            <w:shd w:fill="D4E6F1" w:val="clear"/>
            <w:tcMar>
              <w:top w:type="dxa" w:w="80"/>
              <w:left w:type="dxa" w:w="200"/>
              <w:bottom w:type="dxa" w:w="40"/>
              <w:right w:type="dxa" w:w="200"/>
            </w:tcMar>
          </w:tcPr>
          <w:p>
            <w:r>
              <w:rPr>
                <w:rFonts w:ascii="Arial" w:cs="Arial" w:eastAsia="Arial" w:hAnsi="Arial"/>
                <w:b/>
                <w:bCs/>
                <w:color w:val="1B4F72"/>
                <w:sz w:val="22"/>
                <w:szCs w:val="22"/>
              </w:rPr>
              <w:t xml:space="preserve">Family/Tribal Influence Network</w:t>
            </w:r>
          </w:p>
        </w:tc>
      </w:tr>
      <w:tr>
        <w:tc>
          <w:tcPr>
            <w:tcW w:type="dxa" w:w="9360"/>
            <w:tcBorders>
              <w:top w:val="none" w:sz="0"/>
              <w:left w:val="single" w:color="1B4F72" w:sz="8"/>
              <w:bottom w:val="none" w:sz="0"/>
              <w:right w:val="single" w:color="1B4F72" w:sz="1"/>
            </w:tcBorders>
            <w:shd w:fill="EBF5FB" w:val="clear"/>
            <w:tcMar>
              <w:top w:type="dxa" w:w="40"/>
              <w:left w:type="dxa" w:w="200"/>
              <w:bottom w:type="dxa" w:w="40"/>
              <w:right w:type="dxa" w:w="200"/>
            </w:tcMar>
          </w:tcPr>
          <w:p>
            <w:pPr>
              <w:spacing w:line="276"/>
            </w:pPr>
            <w:r>
              <w:rPr>
                <w:rFonts w:ascii="Arial" w:cs="Arial" w:eastAsia="Arial" w:hAnsi="Arial"/>
                <w:color w:val="2C3E50"/>
                <w:sz w:val="20"/>
                <w:szCs w:val="20"/>
              </w:rPr>
              <w:t xml:space="preserve">Twins model the collective decision-making unit, not just the individual. Father, mother, elder son, daughter-in-law — each with distinct influence weights on different purchase categories. Wasta (social connections) influence on brand trust and supplier selection.</w:t>
            </w:r>
          </w:p>
        </w:tc>
      </w:tr>
      <w:tr>
        <w:tc>
          <w:tcPr>
            <w:tcW w:type="dxa" w:w="9360"/>
            <w:tcBorders>
              <w:top w:val="none" w:sz="0"/>
              <w:left w:val="single" w:color="1B4F72" w:sz="8"/>
              <w:bottom w:val="single" w:color="1B4F72" w:sz="1"/>
              <w:right w:val="single" w:color="1B4F72" w:sz="1"/>
            </w:tcBorders>
            <w:shd w:fill="E8F8F5" w:val="clear"/>
            <w:tcMar>
              <w:top w:type="dxa" w:w="40"/>
              <w:left w:type="dxa" w:w="200"/>
              <w:bottom w:type="dxa" w:w="80"/>
              <w:right w:type="dxa" w:w="200"/>
            </w:tcMar>
          </w:tcPr>
          <w:p>
            <w:pPr>
              <w:spacing w:line="276"/>
            </w:pPr>
            <w:r>
              <w:rPr>
                <w:rFonts w:ascii="Arial" w:cs="Arial" w:eastAsia="Arial" w:hAnsi="Arial"/>
                <w:b/>
                <w:bCs/>
                <w:color w:val="27AE60"/>
                <w:sz w:val="20"/>
                <w:szCs w:val="20"/>
              </w:rPr>
              <w:t xml:space="preserve">Moat: </w:t>
            </w:r>
            <w:r>
              <w:rPr>
                <w:rFonts w:ascii="Arial" w:cs="Arial" w:eastAsia="Arial" w:hAnsi="Arial"/>
                <w:color w:val="2C3E50"/>
                <w:sz w:val="20"/>
                <w:szCs w:val="20"/>
              </w:rPr>
              <w:t xml:space="preserve">Western models assume individual rational actors. MENA decisions are networked, hierarchical, and relationship-driven.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1"/>
              <w:left w:val="single" w:color="1B4F72" w:sz="8"/>
              <w:bottom w:val="none" w:sz="0"/>
              <w:right w:val="single" w:color="1B4F72" w:sz="1"/>
            </w:tcBorders>
            <w:shd w:fill="D4E6F1" w:val="clear"/>
            <w:tcMar>
              <w:top w:type="dxa" w:w="80"/>
              <w:left w:type="dxa" w:w="200"/>
              <w:bottom w:type="dxa" w:w="40"/>
              <w:right w:type="dxa" w:w="200"/>
            </w:tcMar>
          </w:tcPr>
          <w:p>
            <w:r>
              <w:rPr>
                <w:rFonts w:ascii="Arial" w:cs="Arial" w:eastAsia="Arial" w:hAnsi="Arial"/>
                <w:b/>
                <w:bCs/>
                <w:color w:val="1B4F72"/>
                <w:sz w:val="22"/>
                <w:szCs w:val="22"/>
              </w:rPr>
              <w:t xml:space="preserve">Gulf vs. Levant vs. North Africa Differentiation</w:t>
            </w:r>
          </w:p>
        </w:tc>
      </w:tr>
      <w:tr>
        <w:tc>
          <w:tcPr>
            <w:tcW w:type="dxa" w:w="9360"/>
            <w:tcBorders>
              <w:top w:val="none" w:sz="0"/>
              <w:left w:val="single" w:color="1B4F72" w:sz="8"/>
              <w:bottom w:val="none" w:sz="0"/>
              <w:right w:val="single" w:color="1B4F72" w:sz="1"/>
            </w:tcBorders>
            <w:shd w:fill="EBF5FB" w:val="clear"/>
            <w:tcMar>
              <w:top w:type="dxa" w:w="40"/>
              <w:left w:type="dxa" w:w="200"/>
              <w:bottom w:type="dxa" w:w="40"/>
              <w:right w:type="dxa" w:w="200"/>
            </w:tcMar>
          </w:tcPr>
          <w:p>
            <w:pPr>
              <w:spacing w:line="276"/>
            </w:pPr>
            <w:r>
              <w:rPr>
                <w:rFonts w:ascii="Arial" w:cs="Arial" w:eastAsia="Arial" w:hAnsi="Arial"/>
                <w:color w:val="2C3E50"/>
                <w:sz w:val="20"/>
                <w:szCs w:val="20"/>
              </w:rPr>
              <w:t xml:space="preserve">Three distinct twin archetypes with different income distributions, brand consciousness levels, digital adoption curves, and cultural conservatism spectrums. UAE/Saudi twins behave differently from Egyptian twins, which behave differently from Moroccan twins.</w:t>
            </w:r>
          </w:p>
        </w:tc>
      </w:tr>
      <w:tr>
        <w:tc>
          <w:tcPr>
            <w:tcW w:type="dxa" w:w="9360"/>
            <w:tcBorders>
              <w:top w:val="none" w:sz="0"/>
              <w:left w:val="single" w:color="1B4F72" w:sz="8"/>
              <w:bottom w:val="single" w:color="1B4F72" w:sz="1"/>
              <w:right w:val="single" w:color="1B4F72" w:sz="1"/>
            </w:tcBorders>
            <w:shd w:fill="E8F8F5" w:val="clear"/>
            <w:tcMar>
              <w:top w:type="dxa" w:w="40"/>
              <w:left w:type="dxa" w:w="200"/>
              <w:bottom w:type="dxa" w:w="80"/>
              <w:right w:type="dxa" w:w="200"/>
            </w:tcMar>
          </w:tcPr>
          <w:p>
            <w:pPr>
              <w:spacing w:line="276"/>
            </w:pPr>
            <w:r>
              <w:rPr>
                <w:rFonts w:ascii="Arial" w:cs="Arial" w:eastAsia="Arial" w:hAnsi="Arial"/>
                <w:b/>
                <w:bCs/>
                <w:color w:val="27AE60"/>
                <w:sz w:val="20"/>
                <w:szCs w:val="20"/>
              </w:rPr>
              <w:t xml:space="preserve">Moat: </w:t>
            </w:r>
            <w:r>
              <w:rPr>
                <w:rFonts w:ascii="Arial" w:cs="Arial" w:eastAsia="Arial" w:hAnsi="Arial"/>
                <w:color w:val="2C3E50"/>
                <w:sz w:val="20"/>
                <w:szCs w:val="20"/>
              </w:rPr>
              <w:t xml:space="preserve">Generic “Middle East” personas collapse enormous cultural diversity into a single archetype.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1"/>
              <w:left w:val="single" w:color="1B4F72" w:sz="8"/>
              <w:bottom w:val="none" w:sz="0"/>
              <w:right w:val="single" w:color="1B4F72" w:sz="1"/>
            </w:tcBorders>
            <w:shd w:fill="D4E6F1" w:val="clear"/>
            <w:tcMar>
              <w:top w:type="dxa" w:w="80"/>
              <w:left w:type="dxa" w:w="200"/>
              <w:bottom w:type="dxa" w:w="40"/>
              <w:right w:type="dxa" w:w="200"/>
            </w:tcMar>
          </w:tcPr>
          <w:p>
            <w:r>
              <w:rPr>
                <w:rFonts w:ascii="Arial" w:cs="Arial" w:eastAsia="Arial" w:hAnsi="Arial"/>
                <w:b/>
                <w:bCs/>
                <w:color w:val="1B4F72"/>
                <w:sz w:val="22"/>
                <w:szCs w:val="22"/>
              </w:rPr>
              <w:t xml:space="preserve">Ramadan Mode</w:t>
            </w:r>
          </w:p>
        </w:tc>
      </w:tr>
      <w:tr>
        <w:tc>
          <w:tcPr>
            <w:tcW w:type="dxa" w:w="9360"/>
            <w:tcBorders>
              <w:top w:val="none" w:sz="0"/>
              <w:left w:val="single" w:color="1B4F72" w:sz="8"/>
              <w:bottom w:val="none" w:sz="0"/>
              <w:right w:val="single" w:color="1B4F72" w:sz="1"/>
            </w:tcBorders>
            <w:shd w:fill="EBF5FB" w:val="clear"/>
            <w:tcMar>
              <w:top w:type="dxa" w:w="40"/>
              <w:left w:type="dxa" w:w="200"/>
              <w:bottom w:type="dxa" w:w="40"/>
              <w:right w:type="dxa" w:w="200"/>
            </w:tcMar>
          </w:tcPr>
          <w:p>
            <w:pPr>
              <w:spacing w:line="276"/>
            </w:pPr>
            <w:r>
              <w:rPr>
                <w:rFonts w:ascii="Arial" w:cs="Arial" w:eastAsia="Arial" w:hAnsi="Arial"/>
                <w:color w:val="2C3E50"/>
                <w:sz w:val="20"/>
                <w:szCs w:val="20"/>
              </w:rPr>
              <w:t xml:space="preserve">All twins can be switched to “Ramadan mode” which shifts consumption patterns: increased food spending, changed media consumption hours (peak activity after Iftar), elevated charitable giving, pre-Eid shopping acceleration, spiritual content sensitivity.</w:t>
            </w:r>
          </w:p>
        </w:tc>
      </w:tr>
      <w:tr>
        <w:tc>
          <w:tcPr>
            <w:tcW w:type="dxa" w:w="9360"/>
            <w:tcBorders>
              <w:top w:val="none" w:sz="0"/>
              <w:left w:val="single" w:color="1B4F72" w:sz="8"/>
              <w:bottom w:val="single" w:color="1B4F72" w:sz="1"/>
              <w:right w:val="single" w:color="1B4F72" w:sz="1"/>
            </w:tcBorders>
            <w:shd w:fill="E8F8F5" w:val="clear"/>
            <w:tcMar>
              <w:top w:type="dxa" w:w="40"/>
              <w:left w:type="dxa" w:w="200"/>
              <w:bottom w:type="dxa" w:w="80"/>
              <w:right w:type="dxa" w:w="200"/>
            </w:tcMar>
          </w:tcPr>
          <w:p>
            <w:pPr>
              <w:spacing w:line="276"/>
            </w:pPr>
            <w:r>
              <w:rPr>
                <w:rFonts w:ascii="Arial" w:cs="Arial" w:eastAsia="Arial" w:hAnsi="Arial"/>
                <w:b/>
                <w:bCs/>
                <w:color w:val="27AE60"/>
                <w:sz w:val="20"/>
                <w:szCs w:val="20"/>
              </w:rPr>
              <w:t xml:space="preserve">Moat: </w:t>
            </w:r>
            <w:r>
              <w:rPr>
                <w:rFonts w:ascii="Arial" w:cs="Arial" w:eastAsia="Arial" w:hAnsi="Arial"/>
                <w:color w:val="2C3E50"/>
                <w:sz w:val="20"/>
                <w:szCs w:val="20"/>
              </w:rPr>
              <w:t xml:space="preserve">No competitor models the most significant consumption period in the MENA calendar.</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1"/>
              <w:left w:val="single" w:color="1B4F72" w:sz="8"/>
              <w:bottom w:val="none" w:sz="0"/>
              <w:right w:val="single" w:color="1B4F72" w:sz="1"/>
            </w:tcBorders>
            <w:shd w:fill="D4E6F1" w:val="clear"/>
            <w:tcMar>
              <w:top w:type="dxa" w:w="80"/>
              <w:left w:type="dxa" w:w="200"/>
              <w:bottom w:type="dxa" w:w="40"/>
              <w:right w:type="dxa" w:w="200"/>
            </w:tcMar>
          </w:tcPr>
          <w:p>
            <w:r>
              <w:rPr>
                <w:rFonts w:ascii="Arial" w:cs="Arial" w:eastAsia="Arial" w:hAnsi="Arial"/>
                <w:b/>
                <w:bCs/>
                <w:color w:val="1B4F72"/>
                <w:sz w:val="22"/>
                <w:szCs w:val="22"/>
              </w:rPr>
              <w:t xml:space="preserve">Expat vs. National Segmentation</w:t>
            </w:r>
          </w:p>
        </w:tc>
      </w:tr>
      <w:tr>
        <w:tc>
          <w:tcPr>
            <w:tcW w:type="dxa" w:w="9360"/>
            <w:tcBorders>
              <w:top w:val="none" w:sz="0"/>
              <w:left w:val="single" w:color="1B4F72" w:sz="8"/>
              <w:bottom w:val="none" w:sz="0"/>
              <w:right w:val="single" w:color="1B4F72" w:sz="1"/>
            </w:tcBorders>
            <w:shd w:fill="EBF5FB" w:val="clear"/>
            <w:tcMar>
              <w:top w:type="dxa" w:w="40"/>
              <w:left w:type="dxa" w:w="200"/>
              <w:bottom w:type="dxa" w:w="40"/>
              <w:right w:type="dxa" w:w="200"/>
            </w:tcMar>
          </w:tcPr>
          <w:p>
            <w:pPr>
              <w:spacing w:line="276"/>
            </w:pPr>
            <w:r>
              <w:rPr>
                <w:rFonts w:ascii="Arial" w:cs="Arial" w:eastAsia="Arial" w:hAnsi="Arial"/>
                <w:color w:val="2C3E50"/>
                <w:sz w:val="20"/>
                <w:szCs w:val="20"/>
              </w:rPr>
              <w:t xml:space="preserve">Gulf countries have 50–90% expatriate populations. Twins can model Indian, Filipino, Pakistani, Western expat segments alongside national segments, each with distinct brand preferences, remittance behavior, and cultural adaptation levels.</w:t>
            </w:r>
          </w:p>
        </w:tc>
      </w:tr>
      <w:tr>
        <w:tc>
          <w:tcPr>
            <w:tcW w:type="dxa" w:w="9360"/>
            <w:tcBorders>
              <w:top w:val="none" w:sz="0"/>
              <w:left w:val="single" w:color="1B4F72" w:sz="8"/>
              <w:bottom w:val="single" w:color="1B4F72" w:sz="1"/>
              <w:right w:val="single" w:color="1B4F72" w:sz="1"/>
            </w:tcBorders>
            <w:shd w:fill="E8F8F5" w:val="clear"/>
            <w:tcMar>
              <w:top w:type="dxa" w:w="40"/>
              <w:left w:type="dxa" w:w="200"/>
              <w:bottom w:type="dxa" w:w="80"/>
              <w:right w:type="dxa" w:w="200"/>
            </w:tcMar>
          </w:tcPr>
          <w:p>
            <w:pPr>
              <w:spacing w:line="276"/>
            </w:pPr>
            <w:r>
              <w:rPr>
                <w:rFonts w:ascii="Arial" w:cs="Arial" w:eastAsia="Arial" w:hAnsi="Arial"/>
                <w:b/>
                <w:bCs/>
                <w:color w:val="27AE60"/>
                <w:sz w:val="20"/>
                <w:szCs w:val="20"/>
              </w:rPr>
              <w:t xml:space="preserve">Moat: </w:t>
            </w:r>
            <w:r>
              <w:rPr>
                <w:rFonts w:ascii="Arial" w:cs="Arial" w:eastAsia="Arial" w:hAnsi="Arial"/>
                <w:color w:val="2C3E50"/>
                <w:sz w:val="20"/>
                <w:szCs w:val="20"/>
              </w:rPr>
              <w:t xml:space="preserve">Western platforms don’t model the multi-layered expatriate dynamics unique to GCC countries.</w:t>
            </w:r>
          </w:p>
        </w:tc>
      </w:tr>
    </w:tbl>
    <w:p>
      <w:pPr>
        <w:spacing w:after="80"/>
      </w:pPr>
    </w:p>
    <w:p>
      <w:r>
        <w:br w:type="page"/>
      </w:r>
    </w:p>
    <w:p>
      <w:pPr>
        <w:pStyle w:val="Heading1"/>
      </w:pPr>
      <w:r>
        <w:t xml:space="preserve">5. Technical Architecture (CTO + Chief Architect Joint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1"/>
              <w:left w:val="single" w:color="F39C12" w:sz="12"/>
              <w:bottom w:val="single" w:color="F39C12" w:sz="1"/>
              <w:right w:val="single" w:color="F39C12" w:sz="1"/>
            </w:tcBorders>
            <w:shd w:fill="FEF9E7" w:val="clear"/>
            <w:tcMar>
              <w:top w:type="dxa" w:w="120"/>
              <w:left w:type="dxa" w:w="200"/>
              <w:bottom w:type="dxa" w:w="120"/>
              <w:right w:type="dxa" w:w="200"/>
            </w:tcMar>
          </w:tcPr>
          <w:p>
            <w:pPr>
              <w:spacing w:after="80"/>
            </w:pPr>
            <w:r>
              <w:rPr>
                <w:rFonts w:ascii="Arial" w:cs="Arial" w:eastAsia="Arial" w:hAnsi="Arial"/>
                <w:b/>
                <w:bCs/>
                <w:color w:val="F39C12"/>
                <w:sz w:val="22"/>
                <w:szCs w:val="22"/>
              </w:rPr>
              <w:t xml:space="preserve">⚠️ ARCHITECTURE PRINCIPLE: SIMPLIFIED STACK</w:t>
            </w:r>
          </w:p>
          <w:p>
            <w:pPr>
              <w:spacing w:after="60" w:line="276"/>
            </w:pPr>
            <w:r>
              <w:rPr>
                <w:rFonts w:ascii="Arial" w:cs="Arial" w:eastAsia="Arial" w:hAnsi="Arial"/>
                <w:color w:val="2C3E50"/>
                <w:sz w:val="20"/>
                <w:szCs w:val="20"/>
              </w:rPr>
              <w:t xml:space="preserve">Consistent with InsightForge’s established simplified stack principle, the Digital Twin module is built as a modular service within the existing Node.js monolith, not as a separate microservice. It uses the same PostgreSQL database (new tables, not modifications to existing ones), the same Redis cache, and the same AWS infrastructure. No new infrastructure components are introduced at this stage.</w:t>
            </w:r>
          </w:p>
        </w:tc>
      </w:tr>
    </w:tbl>
    <w:p>
      <w:pPr>
        <w:spacing w:after="100"/>
      </w:pPr>
    </w:p>
    <w:p>
      <w:pPr>
        <w:pStyle w:val="Heading2"/>
      </w:pPr>
      <w:r>
        <w:t xml:space="preserve">5.1 Data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New Table</w:t>
            </w:r>
          </w:p>
        </w:tc>
        <w:tc>
          <w:tcPr>
            <w:tcW w:type="dxa" w:w="36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c>
          <w:tcPr>
            <w:tcW w:type="dxa" w:w="33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Relationship to Existing Schema</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twin_models</w:t>
            </w:r>
          </w:p>
        </w:tc>
        <w:tc>
          <w:tcPr>
            <w:tcW w:type="dxa" w:w="3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Stores configured twin segment definitions (demographics, psychographics, cultural params)</w:t>
            </w:r>
          </w:p>
        </w:tc>
        <w:tc>
          <w:tcPr>
            <w:tcW w:type="dxa" w:w="3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FK to tenants, workspaces (uses existing multi-tenant schema)</w:t>
            </w:r>
          </w:p>
        </w:tc>
      </w:tr>
      <w:tr>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twin_personas</w:t>
            </w:r>
          </w:p>
        </w:tc>
        <w:tc>
          <w:tcPr>
            <w:tcW w:type="dxa" w:w="3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Individual twin instances within a model</w:t>
            </w:r>
          </w:p>
        </w:tc>
        <w:tc>
          <w:tcPr>
            <w:tcW w:type="dxa" w:w="3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FK to twin_models</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twin_sessions</w:t>
            </w:r>
          </w:p>
        </w:tc>
        <w:tc>
          <w:tcPr>
            <w:tcW w:type="dxa" w:w="3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Records of twin interaction sessions (questions, responses)</w:t>
            </w:r>
          </w:p>
        </w:tc>
        <w:tc>
          <w:tcPr>
            <w:tcW w:type="dxa" w:w="3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FK to twin_personas, projects (nullable FK as per Sprint 1 pattern)</w:t>
            </w:r>
          </w:p>
        </w:tc>
      </w:tr>
      <w:tr>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twin_calibration_data</w:t>
            </w:r>
          </w:p>
        </w:tc>
        <w:tc>
          <w:tcPr>
            <w:tcW w:type="dxa" w:w="3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Real-study data used to calibrate twins</w:t>
            </w:r>
          </w:p>
        </w:tc>
        <w:tc>
          <w:tcPr>
            <w:tcW w:type="dxa" w:w="3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FK to projects, surveys (links to real participant data)</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twin_accuracy_scores</w:t>
            </w:r>
          </w:p>
        </w:tc>
        <w:tc>
          <w:tcPr>
            <w:tcW w:type="dxa" w:w="3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Tracked accuracy metrics per model per calibration</w:t>
            </w:r>
          </w:p>
        </w:tc>
        <w:tc>
          <w:tcPr>
            <w:tcW w:type="dxa" w:w="3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FK to twin_models, twin_calibration_data</w:t>
            </w:r>
          </w:p>
        </w:tc>
      </w:tr>
      <w:tr>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twin_templates</w:t>
            </w:r>
          </w:p>
        </w:tc>
        <w:tc>
          <w:tcPr>
            <w:tcW w:type="dxa" w:w="3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Pre-built MENA segment templates (Super Admin managed)</w:t>
            </w:r>
          </w:p>
        </w:tc>
        <w:tc>
          <w:tcPr>
            <w:tcW w:type="dxa" w:w="3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FK to template_library (existing)</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twin_cultural_params</w:t>
            </w:r>
          </w:p>
        </w:tc>
        <w:tc>
          <w:tcPr>
            <w:tcW w:type="dxa" w:w="3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MENA-specific cultural configuration (Ramadan mode, family hierarchy, dialect)</w:t>
            </w:r>
          </w:p>
        </w:tc>
        <w:tc>
          <w:tcPr>
            <w:tcW w:type="dxa" w:w="3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FK to twin_models</w:t>
            </w:r>
          </w:p>
        </w:tc>
      </w:tr>
    </w:tbl>
    <w:p>
      <w:pPr>
        <w:spacing w:after="100"/>
      </w:pPr>
    </w:p>
    <w:p>
      <w:pPr>
        <w:pStyle w:val="Heading2"/>
      </w:pPr>
      <w:r>
        <w:t xml:space="preserve">5.2 LLM Integration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E44AD" w:sz="1"/>
              <w:left w:val="single" w:color="8E44AD" w:sz="12"/>
              <w:bottom w:val="single" w:color="8E44AD" w:sz="1"/>
              <w:right w:val="single" w:color="8E44AD" w:sz="1"/>
            </w:tcBorders>
            <w:shd w:fill="F4ECF7" w:val="clear"/>
            <w:tcMar>
              <w:top w:type="dxa" w:w="120"/>
              <w:left w:type="dxa" w:w="200"/>
              <w:bottom w:type="dxa" w:w="120"/>
              <w:right w:type="dxa" w:w="200"/>
            </w:tcMar>
          </w:tcPr>
          <w:p>
            <w:pPr>
              <w:spacing w:after="80"/>
            </w:pPr>
            <w:r>
              <w:rPr>
                <w:rFonts w:ascii="Arial" w:cs="Arial" w:eastAsia="Arial" w:hAnsi="Arial"/>
                <w:b/>
                <w:bCs/>
                <w:color w:val="8E44AD"/>
                <w:sz w:val="22"/>
                <w:szCs w:val="22"/>
              </w:rPr>
              <w:t xml:space="preserve">CTO PERSPECTIVE: BUILD THE ORCHESTRATION, NOT THE MODEL</w:t>
            </w:r>
          </w:p>
          <w:p>
            <w:pPr>
              <w:spacing w:after="60" w:line="276"/>
            </w:pPr>
            <w:r>
              <w:rPr>
                <w:rFonts w:ascii="Arial" w:cs="Arial" w:eastAsia="Arial" w:hAnsi="Arial"/>
                <w:color w:val="2C3E50"/>
                <w:sz w:val="20"/>
                <w:szCs w:val="20"/>
              </w:rPr>
              <w:t xml:space="preserve">InsightForge should NOT attempt to train its own LLM for digital twins. The cost is prohibitive ($10M+) and the technology is evolving too rapidly. Instead, we build a sophisticated orchestration layer that can work with multiple LLM providers (Anthropic Claude, OpenAI, Google Gemini, open-source Arabic models) and swap them as the market evolves. Our value is in the MENA cultural prompt engineering, the calibration pipeline, and the accuracy feedback loop — not in the base model.</w:t>
            </w:r>
          </w:p>
        </w:tc>
      </w:tr>
    </w:tbl>
    <w:p>
      <w:pPr>
        <w:spacing w:after="100"/>
      </w:pPr>
    </w:p>
    <w:p>
      <w:pPr>
        <w:spacing w:after="120" w:line="276"/>
      </w:pPr>
      <w:r>
        <w:t xml:space="preserve">The LLM integration architecture uses a layered prompt construction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rPr>
          <w:tblHeader/>
        </w:trPr>
        <w:tc>
          <w:tcPr>
            <w:tcW w:type="dxa" w:w="2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Prompt Layer</w:t>
            </w:r>
          </w:p>
        </w:tc>
        <w:tc>
          <w:tcPr>
            <w:tcW w:type="dxa" w:w="4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What It Contains</w:t>
            </w:r>
          </w:p>
        </w:tc>
        <w:tc>
          <w:tcPr>
            <w:tcW w:type="dxa" w:w="31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Who Manages It</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Layer 1: Base Persona</w:t>
            </w:r>
          </w:p>
        </w:tc>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Demographics, psychographics, OCEAN personality scores, life stage</w:t>
            </w:r>
          </w:p>
        </w:tc>
        <w:tc>
          <w:tcPr>
            <w:tcW w:type="dxa" w:w="3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System (auto-generated from twin model config)</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Layer 2: Cultural Context</w:t>
            </w:r>
          </w:p>
        </w:tc>
        <w:tc>
          <w:tcPr>
            <w:tcW w:type="dxa" w:w="4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MENA region, dialect, Islamic values weighting, family structure, expat/national status</w:t>
            </w:r>
          </w:p>
        </w:tc>
        <w:tc>
          <w:tcPr>
            <w:tcW w:type="dxa" w:w="3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System (from MENA cultural params table)</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Layer 3: Category Knowledge</w:t>
            </w:r>
          </w:p>
        </w:tc>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Product category expertise, brand awareness, purchase history patterns</w:t>
            </w:r>
          </w:p>
        </w:tc>
        <w:tc>
          <w:tcPr>
            <w:tcW w:type="dxa" w:w="3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Researcher (configured per study)</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Layer 4: Temporal Context</w:t>
            </w:r>
          </w:p>
        </w:tc>
        <w:tc>
          <w:tcPr>
            <w:tcW w:type="dxa" w:w="4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Current season (Ramadan/Eid/normal), day of week, time of day, economic climate</w:t>
            </w:r>
          </w:p>
        </w:tc>
        <w:tc>
          <w:tcPr>
            <w:tcW w:type="dxa" w:w="3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System (auto-calculated from Hijri/Gregorian calendar)</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Layer 5: Study Context</w:t>
            </w:r>
          </w:p>
        </w:tc>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Specific research questions, stimulus materials, concept descriptions</w:t>
            </w:r>
          </w:p>
        </w:tc>
        <w:tc>
          <w:tcPr>
            <w:tcW w:type="dxa" w:w="3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Researcher (per session)</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Layer 6: Calibration Anchor</w:t>
            </w:r>
          </w:p>
        </w:tc>
        <w:tc>
          <w:tcPr>
            <w:tcW w:type="dxa" w:w="4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Real-participant data from previous studies that grounds the twin’s responses</w:t>
            </w:r>
          </w:p>
        </w:tc>
        <w:tc>
          <w:tcPr>
            <w:tcW w:type="dxa" w:w="3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System (auto-fed from calibration pipeline)</w:t>
            </w:r>
          </w:p>
        </w:tc>
      </w:tr>
    </w:tbl>
    <w:p>
      <w:pPr>
        <w:spacing w:after="100"/>
      </w:pPr>
    </w:p>
    <w:p>
      <w:pPr>
        <w:pStyle w:val="Heading2"/>
      </w:pPr>
      <w:r>
        <w:t xml:space="preserve">5.3 The Calibration Pipeline (The Real Technical Moat)</w:t>
      </w:r>
    </w:p>
    <w:p>
      <w:pPr>
        <w:spacing w:after="120" w:line="276"/>
      </w:pPr>
      <w:r>
        <w:t xml:space="preserve">The calibration pipeline is the most technically sophisticated component and the hardest for competitors to replicate. It creates a closed-loop system where real-participant data continuously improves twin accuracy:</w:t>
      </w:r>
    </w:p>
    <w:p>
      <w:pPr>
        <w:spacing w:after="120" w:line="276"/>
      </w:pPr>
      <w:r>
        <w:rPr>
          <w:rFonts w:ascii="Arial" w:cs="Arial" w:eastAsia="Arial" w:hAnsi="Arial"/>
          <w:b/>
          <w:bCs/>
          <w:sz w:val="22"/>
          <w:szCs w:val="22"/>
        </w:rPr>
        <w:t xml:space="preserve">Step 1: Data Collection: </w:t>
      </w:r>
      <w:r>
        <w:rPr>
          <w:rFonts w:ascii="Arial" w:cs="Arial" w:eastAsia="Arial" w:hAnsi="Arial"/>
          <w:sz w:val="22"/>
          <w:szCs w:val="22"/>
        </w:rPr>
        <w:t xml:space="preserve">Every completed InsightForge study generates structured behavioral data: survey responses, focus group transcripts, sentiment scores, choice patterns. This data is stored with consent in the twin_calibration_data table.</w:t>
      </w:r>
    </w:p>
    <w:p>
      <w:pPr>
        <w:spacing w:after="120" w:line="276"/>
      </w:pPr>
      <w:r>
        <w:rPr>
          <w:rFonts w:ascii="Arial" w:cs="Arial" w:eastAsia="Arial" w:hAnsi="Arial"/>
          <w:b/>
          <w:bCs/>
          <w:sz w:val="22"/>
          <w:szCs w:val="22"/>
        </w:rPr>
        <w:t xml:space="preserve">Step 2: Pattern Extraction: </w:t>
      </w:r>
      <w:r>
        <w:rPr>
          <w:rFonts w:ascii="Arial" w:cs="Arial" w:eastAsia="Arial" w:hAnsi="Arial"/>
          <w:sz w:val="22"/>
          <w:szCs w:val="22"/>
        </w:rPr>
        <w:t xml:space="preserve">BullMQ jobs (already being wired in Sprint 1) process completed studies to extract behavioral patterns: response distributions by segment, sentiment patterns by topic, decision drivers by category. This runs asynchronously and doesn’t affect the real-time study experience.</w:t>
      </w:r>
    </w:p>
    <w:p>
      <w:pPr>
        <w:spacing w:after="120" w:line="276"/>
      </w:pPr>
      <w:r>
        <w:rPr>
          <w:rFonts w:ascii="Arial" w:cs="Arial" w:eastAsia="Arial" w:hAnsi="Arial"/>
          <w:b/>
          <w:bCs/>
          <w:sz w:val="22"/>
          <w:szCs w:val="22"/>
        </w:rPr>
        <w:t xml:space="preserve">Step 3: Twin Training: </w:t>
      </w:r>
      <w:r>
        <w:rPr>
          <w:rFonts w:ascii="Arial" w:cs="Arial" w:eastAsia="Arial" w:hAnsi="Arial"/>
          <w:sz w:val="22"/>
          <w:szCs w:val="22"/>
        </w:rPr>
        <w:t xml:space="preserve">Extracted patterns are used to fine-tune the prompt layers for matching twin segments. If real Saudi women aged 25–35 showed unexpected brand loyalty patterns in a completed study, those patterns are encoded into the corresponding twin persona’s calibration anchor.</w:t>
      </w:r>
    </w:p>
    <w:p>
      <w:pPr>
        <w:spacing w:after="120" w:line="276"/>
      </w:pPr>
      <w:r>
        <w:rPr>
          <w:rFonts w:ascii="Arial" w:cs="Arial" w:eastAsia="Arial" w:hAnsi="Arial"/>
          <w:b/>
          <w:bCs/>
          <w:sz w:val="22"/>
          <w:szCs w:val="22"/>
        </w:rPr>
        <w:t xml:space="preserve">Step 4: Accuracy Scoring: </w:t>
      </w:r>
      <w:r>
        <w:rPr>
          <w:rFonts w:ascii="Arial" w:cs="Arial" w:eastAsia="Arial" w:hAnsi="Arial"/>
          <w:sz w:val="22"/>
          <w:szCs w:val="22"/>
        </w:rPr>
        <w:t xml:space="preserve">When a twin prediction is later compared against real data (e.g., a researcher ran twins pre-study and then ran the real study), the accuracy score is computed and stored. This creates the accuracy feedback loop that drives continuous improvement.</w:t>
      </w:r>
    </w:p>
    <w:p>
      <w:pPr>
        <w:spacing w:after="120" w:line="276"/>
      </w:pPr>
      <w:r>
        <w:rPr>
          <w:rFonts w:ascii="Arial" w:cs="Arial" w:eastAsia="Arial" w:hAnsi="Arial"/>
          <w:b/>
          <w:bCs/>
          <w:sz w:val="22"/>
          <w:szCs w:val="22"/>
        </w:rPr>
        <w:t xml:space="preserve">Step 5: Model Selection: </w:t>
      </w:r>
      <w:r>
        <w:rPr>
          <w:rFonts w:ascii="Arial" w:cs="Arial" w:eastAsia="Arial" w:hAnsi="Arial"/>
          <w:sz w:val="22"/>
          <w:szCs w:val="22"/>
        </w:rPr>
        <w:t xml:space="preserve">Over time, the system learns which LLM + prompt configuration produces the most accurate results for which MENA segments. This meta-learning becomes a proprietary optimization layer.</w:t>
      </w:r>
    </w:p>
    <w:p>
      <w:pPr>
        <w:spacing w:after="100"/>
      </w:pPr>
    </w:p>
    <w:p>
      <w:pPr>
        <w:pStyle w:val="Heading2"/>
      </w:pPr>
      <w:r>
        <w:t xml:space="preserve">5.4 Build vs. Buy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800"/>
        <w:gridCol w:w="2360"/>
      </w:tblGrid>
      <w:tr>
        <w:trPr>
          <w:tblHeader/>
        </w:trPr>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Component</w:t>
            </w:r>
          </w:p>
        </w:tc>
        <w:tc>
          <w:tcPr>
            <w:tcW w:type="dxa" w:w="2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Build</w:t>
            </w:r>
          </w:p>
        </w:tc>
        <w:tc>
          <w:tcPr>
            <w:tcW w:type="dxa" w:w="2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Buy/Integrate</w:t>
            </w:r>
          </w:p>
        </w:tc>
        <w:tc>
          <w:tcPr>
            <w:tcW w:type="dxa" w:w="23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Recommendation</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Base LLM</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Prohibitive ($10M+)</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Anthropic Claude / OpenAI API</w:t>
            </w:r>
          </w:p>
        </w:tc>
        <w:tc>
          <w:tcPr>
            <w:tcW w:type="dxa" w:w="2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BUY — Use API with custom prompts</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Twin orchestration engine</w:t>
            </w:r>
          </w:p>
        </w:tc>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Core competency</w:t>
            </w:r>
          </w:p>
        </w:tc>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Simile API ($100K+/yr, no MENA focus)</w:t>
            </w:r>
          </w:p>
        </w:tc>
        <w:tc>
          <w:tcPr>
            <w:tcW w:type="dxa" w:w="2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BUILD — This is our moat</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MENA cultural modeling</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Must be proprietary</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Nothing exists for MENA</w:t>
            </w:r>
          </w:p>
        </w:tc>
        <w:tc>
          <w:tcPr>
            <w:tcW w:type="dxa" w:w="2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BUILD — Nobody else can do this</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Arabic NLP/sentiment</w:t>
            </w:r>
          </w:p>
        </w:tc>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Expensive to build from scratch</w:t>
            </w:r>
          </w:p>
        </w:tc>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CAMeL Tools, AraGPT, AraBERT</w:t>
            </w:r>
          </w:p>
        </w:tc>
        <w:tc>
          <w:tcPr>
            <w:tcW w:type="dxa" w:w="2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HYBRID — Use open-source Arabic NLP, build custom layer</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Calibration pipeline</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Core competency</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No off-the-shelf solution fits</w:t>
            </w:r>
          </w:p>
        </w:tc>
        <w:tc>
          <w:tcPr>
            <w:tcW w:type="dxa" w:w="2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BUILD — Unique to our hybrid model</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Synthetic panel UI</w:t>
            </w:r>
          </w:p>
        </w:tc>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Must match InsightForge UX</w:t>
            </w:r>
          </w:p>
        </w:tc>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No embeddable solution exists</w:t>
            </w:r>
          </w:p>
        </w:tc>
        <w:tc>
          <w:tcPr>
            <w:tcW w:type="dxa" w:w="2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BUILD — Must be seamlessly integrated</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Accuracy benchmarking</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Moderate complexity</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No MENA-specific solution</w:t>
            </w:r>
          </w:p>
        </w:tc>
        <w:tc>
          <w:tcPr>
            <w:tcW w:type="dxa" w:w="2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BUILD — Part of our trust architecture</w:t>
            </w:r>
          </w:p>
        </w:tc>
      </w:tr>
    </w:tbl>
    <w:p>
      <w:r>
        <w:br w:type="page"/>
      </w:r>
    </w:p>
    <w:p>
      <w:pPr>
        <w:pStyle w:val="Heading1"/>
      </w:pPr>
      <w:r>
        <w:t xml:space="preserve">6. UX &amp; Workflow Design (Head of UX Perspective)</w:t>
      </w:r>
    </w:p>
    <w:p>
      <w:pPr>
        <w:pStyle w:val="Heading2"/>
      </w:pPr>
      <w:r>
        <w:t xml:space="preserve">6.1 The Trust Calibration Challenge</w:t>
      </w:r>
    </w:p>
    <w:p>
      <w:pPr>
        <w:spacing w:after="120" w:line="276"/>
      </w:pPr>
      <w:r>
        <w:t xml:space="preserve">The single biggest UX challenge with digital twins is not technical — it’s psychological. Market researchers have built careers on talking to real people. Synthetic outputs feel inherently untrustworthy. Our UX must acknowledge this reality and design for graduated trust-building, not forced adoption.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12"/>
              <w:bottom w:val="single" w:color="27AE60" w:sz="1"/>
              <w:right w:val="single" w:color="27AE60" w:sz="1"/>
            </w:tcBorders>
            <w:shd w:fill="E8F8F5" w:val="clear"/>
            <w:tcMar>
              <w:top w:type="dxa" w:w="120"/>
              <w:left w:type="dxa" w:w="200"/>
              <w:bottom w:type="dxa" w:w="120"/>
              <w:right w:type="dxa" w:w="200"/>
            </w:tcMar>
          </w:tcPr>
          <w:p>
            <w:pPr>
              <w:spacing w:after="80"/>
            </w:pPr>
            <w:r>
              <w:rPr>
                <w:rFonts w:ascii="Arial" w:cs="Arial" w:eastAsia="Arial" w:hAnsi="Arial"/>
                <w:b/>
                <w:bCs/>
                <w:color w:val="27AE60"/>
                <w:sz w:val="22"/>
                <w:szCs w:val="22"/>
              </w:rPr>
              <w:t xml:space="preserve">UX DESIGN PRINCIPLE: TRANSPARENT UNCERTAINTY</w:t>
            </w:r>
          </w:p>
          <w:p>
            <w:pPr>
              <w:spacing w:after="60" w:line="276"/>
            </w:pPr>
            <w:r>
              <w:rPr>
                <w:rFonts w:ascii="Arial" w:cs="Arial" w:eastAsia="Arial" w:hAnsi="Arial"/>
                <w:color w:val="2C3E50"/>
                <w:sz w:val="20"/>
                <w:szCs w:val="20"/>
              </w:rPr>
              <w:t xml:space="preserve">Every twin output must display a confidence indicator that honestly communicates how reliable the prediction is. This is non-negotiable. Researchers who catch a system being overconfident will never trust it again. Researchers who see a system honestly admitting “This prediction is directional, not definitive — confidence: 62%” will gradually learn to calibrate their own trust appropriately.</w:t>
            </w:r>
          </w:p>
          <w:p>
            <w:pPr>
              <w:spacing w:after="60" w:line="276"/>
            </w:pPr>
            <w:r>
              <w:rPr>
                <w:rFonts w:ascii="Arial" w:cs="Arial" w:eastAsia="Arial" w:hAnsi="Arial"/>
                <w:color w:val="2C3E50"/>
                <w:sz w:val="20"/>
                <w:szCs w:val="20"/>
              </w:rPr>
              <w:t xml:space="preserve"/>
            </w:r>
          </w:p>
          <w:p>
            <w:pPr>
              <w:spacing w:after="60" w:line="276"/>
            </w:pPr>
            <w:r>
              <w:rPr>
                <w:rFonts w:ascii="Arial" w:cs="Arial" w:eastAsia="Arial" w:hAnsi="Arial"/>
                <w:color w:val="2C3E50"/>
                <w:sz w:val="20"/>
                <w:szCs w:val="20"/>
              </w:rPr>
              <w:t xml:space="preserve">This directly extends InsightForge’s existing principle: AI suggestions assist researchers, never replace or auto-execute. Twin outputs are suggestions, not conclusions.</w:t>
            </w:r>
          </w:p>
        </w:tc>
      </w:tr>
    </w:tbl>
    <w:p>
      <w:pPr>
        <w:spacing w:after="100"/>
      </w:pPr>
    </w:p>
    <w:p>
      <w:pPr>
        <w:pStyle w:val="Heading2"/>
      </w:pPr>
      <w:r>
        <w:t xml:space="preserve">6.2 Researcher Workflow Integration</w:t>
      </w:r>
    </w:p>
    <w:p>
      <w:pPr>
        <w:spacing w:after="120" w:line="276"/>
      </w:pPr>
      <w:r>
        <w:t xml:space="preserve">The Synthetic Lab appears as a new tab within the Research Project container (the project lifecycle feature identified as a PMF-blocking gap). This placement is deliberate: twins are always contextually embedded within a real research project, never floating as standalone synthetic exercises.</w:t>
      </w:r>
    </w:p>
    <w:p>
      <w:pPr>
        <w:pStyle w:val="Heading2"/>
      </w:pPr>
      <w:r>
        <w:t xml:space="preserve">6.3 Key UI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Component</w:t>
            </w:r>
          </w:p>
        </w:tc>
        <w:tc>
          <w:tcPr>
            <w:tcW w:type="dxa" w:w="2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c>
          <w:tcPr>
            <w:tcW w:type="dxa" w:w="43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Design Principles</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Twin Panel Builder</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Configure synthetic panels by selecting segments, size, cultural parameters</w:t>
            </w:r>
          </w:p>
        </w:tc>
        <w:tc>
          <w:tcPr>
            <w:tcW w:type="dxa" w:w="4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Looks like real panel recruitment but for synthetic. Familiar UX patterns reduce learning curve.</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Conversation Interface</w:t>
            </w:r>
          </w:p>
        </w:tc>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Chat with individual twins or run group conversations</w:t>
            </w:r>
          </w:p>
        </w:tc>
        <w:tc>
          <w:tcPr>
            <w:tcW w:type="dxa" w:w="4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Split-screen: twin responses on left, researcher notes on right. Arabic RTL fully native.</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Accuracy Dashboard</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Show historical accuracy scores for twin models</w:t>
            </w:r>
          </w:p>
        </w:tc>
        <w:tc>
          <w:tcPr>
            <w:tcW w:type="dxa" w:w="4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Traffic light system: Green (&gt;80%), Yellow (60–80%), Red (&lt;60%). Always visible, never hidden.</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Comparison View</w:t>
            </w:r>
          </w:p>
        </w:tc>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Side-by-side real vs. synthetic results</w:t>
            </w:r>
          </w:p>
        </w:tc>
        <w:tc>
          <w:tcPr>
            <w:tcW w:type="dxa" w:w="4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Automatic when both real and synthetic data exist for same project. Highlights divergences.</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Ramadan Mode Toggle</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Switch twin behavioral models to Ramadan consumption patterns</w:t>
            </w:r>
          </w:p>
        </w:tc>
        <w:tc>
          <w:tcPr>
            <w:tcW w:type="dxa" w:w="4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Single toggle, affects all twins in session. Visual indicator always present.</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Cultural Parameter Panel</w:t>
            </w:r>
          </w:p>
        </w:tc>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Fine-tune MENA-specific settings (dialect, conservatism level, family influence weight)</w:t>
            </w:r>
          </w:p>
        </w:tc>
        <w:tc>
          <w:tcPr>
            <w:tcW w:type="dxa" w:w="4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Advanced settings, collapsed by default. Sensible MENA defaults pre-configured per region.</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Export Integration</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Twin results flow into existing PowerPoint/SPSS/Excel exports</w:t>
            </w:r>
          </w:p>
        </w:tc>
        <w:tc>
          <w:tcPr>
            <w:tcW w:type="dxa" w:w="4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Twin data appears in a clearly labeled section of existing exports, never mixed with real data.</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4C3C" w:sz="1"/>
              <w:left w:val="single" w:color="E74C3C" w:sz="12"/>
              <w:bottom w:val="single" w:color="E74C3C" w:sz="1"/>
              <w:right w:val="single" w:color="E74C3C" w:sz="1"/>
            </w:tcBorders>
            <w:shd w:fill="FDEDEC" w:val="clear"/>
            <w:tcMar>
              <w:top w:type="dxa" w:w="120"/>
              <w:left w:type="dxa" w:w="200"/>
              <w:bottom w:type="dxa" w:w="120"/>
              <w:right w:type="dxa" w:w="200"/>
            </w:tcMar>
          </w:tcPr>
          <w:p>
            <w:pPr>
              <w:spacing w:after="80"/>
            </w:pPr>
            <w:r>
              <w:rPr>
                <w:rFonts w:ascii="Arial" w:cs="Arial" w:eastAsia="Arial" w:hAnsi="Arial"/>
                <w:b/>
                <w:bCs/>
                <w:color w:val="E74C3C"/>
                <w:sz w:val="22"/>
                <w:szCs w:val="22"/>
              </w:rPr>
              <w:t xml:space="preserve">HEAD OF UX — CRITICAL DESIGN RULE</w:t>
            </w:r>
          </w:p>
          <w:p>
            <w:pPr>
              <w:spacing w:after="60" w:line="276"/>
            </w:pPr>
            <w:r>
              <w:rPr>
                <w:rFonts w:ascii="Arial" w:cs="Arial" w:eastAsia="Arial" w:hAnsi="Arial"/>
                <w:color w:val="2C3E50"/>
                <w:sz w:val="20"/>
                <w:szCs w:val="20"/>
              </w:rPr>
              <w:t xml:space="preserve">Twin-generated data must ALWAYS be visually distinct from real-participant data. Use a consistent visual language: purple badge for synthetic, green badge for real-participant. This distinction must persist through every view, export, and report. A researcher must never accidentally present synthetic data as real participant data to a client. This is both an ethical requirement and a business requirement — one misattribution incident could destroy trust in the entire platform.</w:t>
            </w:r>
          </w:p>
        </w:tc>
      </w:tr>
    </w:tbl>
    <w:p>
      <w:r>
        <w:br w:type="page"/>
      </w:r>
    </w:p>
    <w:p>
      <w:pPr>
        <w:pStyle w:val="Heading1"/>
      </w:pPr>
      <w:r>
        <w:t xml:space="preserve">7. Revenue Model &amp; Pricing Strategy</w:t>
      </w:r>
    </w:p>
    <w:p>
      <w:pPr>
        <w:pStyle w:val="Heading2"/>
      </w:pPr>
      <w:r>
        <w:t xml:space="preserve">7.1 Pricing Architecture</w:t>
      </w:r>
    </w:p>
    <w:p>
      <w:pPr>
        <w:spacing w:after="120" w:line="276"/>
      </w:pPr>
      <w:r>
        <w:t xml:space="preserve">The Synthetic Lab is a premium add-on to existing InsightForge subscriptions, not a separate product. This reinforces the additive positioning and ensures the feature drives upsell revenue rather than cannibalizing existing subscriptions.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2760"/>
      </w:tblGrid>
      <w:tr>
        <w:trPr>
          <w:tblHeader/>
        </w:trPr>
        <w:tc>
          <w:tcPr>
            <w:tcW w:type="dxa" w:w="2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Tier</w:t>
            </w:r>
          </w:p>
        </w:tc>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Included Twins</w:t>
            </w:r>
          </w:p>
        </w:tc>
        <w:tc>
          <w:tcPr>
            <w:tcW w:type="dxa" w:w="24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Monthly Price (Est.)</w:t>
            </w:r>
          </w:p>
        </w:tc>
        <w:tc>
          <w:tcPr>
            <w:tcW w:type="dxa" w:w="27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Target Customer</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Explorer</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50 twin sessions/month</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$500–$800</w:t>
            </w:r>
          </w:p>
        </w:tc>
        <w:tc>
          <w:tcPr>
            <w:tcW w:type="dxa" w:w="2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Individual researchers, small agencies</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Professional</w:t>
            </w:r>
          </w:p>
        </w:tc>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500 twin sessions/month</w:t>
            </w:r>
          </w:p>
        </w:tc>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$2,000–$3,500</w:t>
            </w:r>
          </w:p>
        </w:tc>
        <w:tc>
          <w:tcPr>
            <w:tcW w:type="dxa" w:w="2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Mid-size agencies, brand research teams</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Enterprise</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Unlimited + custom models</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$8,000–$15,000</w:t>
            </w:r>
          </w:p>
        </w:tc>
        <w:tc>
          <w:tcPr>
            <w:tcW w:type="dxa" w:w="2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Large agencies, enterprise research departments</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Platform (White-label)</w:t>
            </w:r>
          </w:p>
        </w:tc>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Unlimited + API access</w:t>
            </w:r>
          </w:p>
        </w:tc>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Custom</w:t>
            </w:r>
          </w:p>
        </w:tc>
        <w:tc>
          <w:tcPr>
            <w:tcW w:type="dxa" w:w="2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Agency-client white-label portal users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2"/>
              <w:bottom w:val="single" w:color="2E86C1" w:sz="1"/>
              <w:right w:val="single" w:color="2E86C1" w:sz="1"/>
            </w:tcBorders>
            <w:shd w:fill="EBF5FB" w:val="clear"/>
            <w:tcMar>
              <w:top w:type="dxa" w:w="120"/>
              <w:left w:type="dxa" w:w="200"/>
              <w:bottom w:type="dxa" w:w="120"/>
              <w:right w:type="dxa" w:w="200"/>
            </w:tcMar>
          </w:tcPr>
          <w:p>
            <w:pPr>
              <w:spacing w:after="80"/>
            </w:pPr>
            <w:r>
              <w:rPr>
                <w:rFonts w:ascii="Arial" w:cs="Arial" w:eastAsia="Arial" w:hAnsi="Arial"/>
                <w:b/>
                <w:bCs/>
                <w:color w:val="2E86C1"/>
                <w:sz w:val="22"/>
                <w:szCs w:val="22"/>
              </w:rPr>
              <w:t xml:space="preserve">VP PRODUCT — PRICING PHILOSOPHY</w:t>
            </w:r>
          </w:p>
          <w:p>
            <w:pPr>
              <w:spacing w:after="60" w:line="276"/>
            </w:pPr>
            <w:r>
              <w:rPr>
                <w:rFonts w:ascii="Arial" w:cs="Arial" w:eastAsia="Arial" w:hAnsi="Arial"/>
                <w:color w:val="2C3E50"/>
                <w:sz w:val="20"/>
                <w:szCs w:val="20"/>
              </w:rPr>
              <w:t xml:space="preserve">The competitive landscape ranges from $2/synthetic respondent (Synthetic Users) to $100,000+/year (Simile). Our sweet spot is the Professional tier at $2,000–$3,500/month, which targets MENA ad agency research leads who currently spend $5,000–$20,000 per traditional focus group. If our twins can replace even 30% of exploratory focus groups, the ROI is immediate and obvious. The Explorer tier is a land-and-expand strategy: get individual researchers hooked, then upsell to team/agency licenses.</w:t>
            </w:r>
          </w:p>
        </w:tc>
      </w:tr>
    </w:tbl>
    <w:p>
      <w:pPr>
        <w:pStyle w:val="Heading2"/>
      </w:pPr>
      <w:r>
        <w:t xml:space="preserve">7.2 Cost Structure</w:t>
      </w:r>
    </w:p>
    <w:p>
      <w:pPr>
        <w:spacing w:after="120" w:line="276"/>
      </w:pPr>
      <w:r>
        <w:t xml:space="preserve">Primary cost drivers are LLM API calls. At current pricing (Anthropic Claude Sonnet at ~$3/1M input tokens, ~$15/1M output tokens), estimated cost per twin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200"/>
        <w:gridCol w:w="2560"/>
      </w:tblGrid>
      <w:tr>
        <w:trPr>
          <w:tblHeader/>
        </w:trPr>
        <w:tc>
          <w:tcPr>
            <w:tcW w:type="dxa" w:w="2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Session Type</w:t>
            </w:r>
          </w:p>
        </w:tc>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Est. Tokens</w:t>
            </w:r>
          </w:p>
        </w:tc>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Est. API Cost</w:t>
            </w:r>
          </w:p>
        </w:tc>
        <w:tc>
          <w:tcPr>
            <w:tcW w:type="dxa" w:w="25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Target Margin</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Single twin survey (20 Qs)</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~15K tokens</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$0.05–$0.15</w:t>
            </w:r>
          </w:p>
        </w:tc>
        <w:tc>
          <w:tcPr>
            <w:tcW w:type="dxa" w:w="2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90%+ at $10/session list price</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Twin conversation (30 min equiv.)</w:t>
            </w:r>
          </w:p>
        </w:tc>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~50K tokens</w:t>
            </w:r>
          </w:p>
        </w:tc>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$0.15–$0.50</w:t>
            </w:r>
          </w:p>
        </w:tc>
        <w:tc>
          <w:tcPr>
            <w:tcW w:type="dxa" w:w="2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85%+ at $5/session list price</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Group simulation (8 twins)</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~200K tokens</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$0.50–$2.00</w:t>
            </w:r>
          </w:p>
        </w:tc>
        <w:tc>
          <w:tcPr>
            <w:tcW w:type="dxa" w:w="2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80%+ at $25/session list price</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Full study pre-simulation (100 twins)</w:t>
            </w:r>
          </w:p>
        </w:tc>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~2M tokens</w:t>
            </w:r>
          </w:p>
        </w:tc>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$5–$15</w:t>
            </w:r>
          </w:p>
        </w:tc>
        <w:tc>
          <w:tcPr>
            <w:tcW w:type="dxa" w:w="2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75%+ at $100/study list price</w:t>
            </w:r>
          </w:p>
        </w:tc>
      </w:tr>
    </w:tbl>
    <w:p>
      <w:r>
        <w:br w:type="page"/>
      </w:r>
    </w:p>
    <w:p>
      <w:pPr>
        <w:pStyle w:val="Heading1"/>
      </w:pPr>
      <w:r>
        <w:t xml:space="preserve">8. Risk Matrix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4960"/>
      </w:tblGrid>
      <w:tr>
        <w:trPr>
          <w:tblHeader/>
        </w:trPr>
        <w:tc>
          <w:tcPr>
            <w:tcW w:type="dxa" w:w="2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Risk</w:t>
            </w:r>
          </w:p>
        </w:tc>
        <w:tc>
          <w:tcPr>
            <w:tcW w:type="dxa" w:w="1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Severity</w:t>
            </w:r>
          </w:p>
        </w:tc>
        <w:tc>
          <w:tcPr>
            <w:tcW w:type="dxa" w:w="1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Probability</w:t>
            </w:r>
          </w:p>
        </w:tc>
        <w:tc>
          <w:tcPr>
            <w:tcW w:type="dxa" w:w="49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Mitigation</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Twin accuracy insufficient for MENA contexts</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Critical</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Medium</w:t>
            </w:r>
          </w:p>
        </w:tc>
        <w:tc>
          <w:tcPr>
            <w:tcW w:type="dxa" w:w="4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Start with simulated twins from real InsightForge data, not pure synthetic. Validate accuracy before GA launch. Set minimum accuracy threshold (70%) below which twins are not offered.</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Arabic LLM quality lags English</w:t>
            </w:r>
          </w:p>
        </w:tc>
        <w:tc>
          <w:tcPr>
            <w:tcW w:type="dxa" w:w="1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High</w:t>
            </w:r>
          </w:p>
        </w:tc>
        <w:tc>
          <w:tcPr>
            <w:tcW w:type="dxa" w:w="1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High</w:t>
            </w:r>
          </w:p>
        </w:tc>
        <w:tc>
          <w:tcPr>
            <w:tcW w:type="dxa" w:w="4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Build dialect-specific prompt engineering. Use Arabic-optimized models (Jais, ALLaM) for Arabic reasoning, English models for structure. Continuous benchmarking.</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Researchers reject synthetic tools</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High</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Medium</w:t>
            </w:r>
          </w:p>
        </w:tc>
        <w:tc>
          <w:tcPr>
            <w:tcW w:type="dxa" w:w="4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Position as pre-study accelerator, never replacement. Free Explorer tier for trial. Show accuracy dashboards prominently. Let researchers validate against their own past studies.</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Regulatory/ethical concerns (EU AI Act, MENA data laws)</w:t>
            </w:r>
          </w:p>
        </w:tc>
        <w:tc>
          <w:tcPr>
            <w:tcW w:type="dxa" w:w="1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High</w:t>
            </w:r>
          </w:p>
        </w:tc>
        <w:tc>
          <w:tcPr>
            <w:tcW w:type="dxa" w:w="1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Medium</w:t>
            </w:r>
          </w:p>
        </w:tc>
        <w:tc>
          <w:tcPr>
            <w:tcW w:type="dxa" w:w="4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All twin data anonymized, never based on identifiable individuals. Clear consent frameworks. Synthetic label on ALL outputs. GDPR/MENA data sovereignty compliance built in.</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LLM provider lock-in</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Medium</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Low</w:t>
            </w:r>
          </w:p>
        </w:tc>
        <w:tc>
          <w:tcPr>
            <w:tcW w:type="dxa" w:w="4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Multi-provider abstraction layer from Day 1. Standard prompt format that works across Claude, GPT, Gemini. Regular cost/performance benchmarks.</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Competitors copy MENA twin approach</w:t>
            </w:r>
          </w:p>
        </w:tc>
        <w:tc>
          <w:tcPr>
            <w:tcW w:type="dxa" w:w="1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Medium</w:t>
            </w:r>
          </w:p>
        </w:tc>
        <w:tc>
          <w:tcPr>
            <w:tcW w:type="dxa" w:w="1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Low (short-term)</w:t>
            </w:r>
          </w:p>
        </w:tc>
        <w:tc>
          <w:tcPr>
            <w:tcW w:type="dxa" w:w="4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Our calibration data from real MENA studies is proprietary and compounds over time. First-mover advantage in MENA. Cultural expertise requires years to build, not just code.</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Cost overruns from LLM API usage</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Medium</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Medium</w:t>
            </w:r>
          </w:p>
        </w:tc>
        <w:tc>
          <w:tcPr>
            <w:tcW w:type="dxa" w:w="4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Usage caps per tier. Caching for repeated queries. Batch processing via BullMQ. Monitor cost per session daily.</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Client confusion between real and synthetic data</w:t>
            </w:r>
          </w:p>
        </w:tc>
        <w:tc>
          <w:tcPr>
            <w:tcW w:type="dxa" w:w="1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Critical</w:t>
            </w:r>
          </w:p>
        </w:tc>
        <w:tc>
          <w:tcPr>
            <w:tcW w:type="dxa" w:w="1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Low</w:t>
            </w:r>
          </w:p>
        </w:tc>
        <w:tc>
          <w:tcPr>
            <w:tcW w:type="dxa" w:w="4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Mandatory visual differentiation (purple vs. green badges). Export watermarks. Explicit labels in all reports. UX guardrails that prevent mixing.</w:t>
            </w:r>
          </w:p>
        </w:tc>
      </w:tr>
    </w:tbl>
    <w:p>
      <w:r>
        <w:br w:type="page"/>
      </w:r>
    </w:p>
    <w:p>
      <w:pPr>
        <w:pStyle w:val="Heading1"/>
      </w:pPr>
      <w:r>
        <w:t xml:space="preserve">9. Phased Implementation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1"/>
              <w:left w:val="single" w:color="F39C12" w:sz="12"/>
              <w:bottom w:val="single" w:color="F39C12" w:sz="1"/>
              <w:right w:val="single" w:color="F39C12" w:sz="1"/>
            </w:tcBorders>
            <w:shd w:fill="FEF9E7" w:val="clear"/>
            <w:tcMar>
              <w:top w:type="dxa" w:w="120"/>
              <w:left w:type="dxa" w:w="200"/>
              <w:bottom w:type="dxa" w:w="120"/>
              <w:right w:type="dxa" w:w="200"/>
            </w:tcMar>
          </w:tcPr>
          <w:p>
            <w:pPr>
              <w:spacing w:after="80"/>
            </w:pPr>
            <w:r>
              <w:rPr>
                <w:rFonts w:ascii="Arial" w:cs="Arial" w:eastAsia="Arial" w:hAnsi="Arial"/>
                <w:b/>
                <w:bCs/>
                <w:color w:val="F39C12"/>
                <w:sz w:val="22"/>
                <w:szCs w:val="22"/>
              </w:rPr>
              <w:t xml:space="preserve">ROADMAP PRINCIPLE</w:t>
            </w:r>
          </w:p>
          <w:p>
            <w:pPr>
              <w:spacing w:after="60" w:line="276"/>
            </w:pPr>
            <w:r>
              <w:rPr>
                <w:rFonts w:ascii="Arial" w:cs="Arial" w:eastAsia="Arial" w:hAnsi="Arial"/>
                <w:color w:val="2C3E50"/>
                <w:sz w:val="20"/>
                <w:szCs w:val="20"/>
              </w:rPr>
              <w:t xml:space="preserve">This roadmap sits alongside InsightForge’s existing Sprint 1–12 roadmap, not replacing it. Twin development is a parallel track that starts after the core platform achieves PMF stability (post-Sprint 4). Earlier work is limited to data collection infrastructure that benefits the core platform regardless.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3360"/>
        <w:gridCol w:w="2800"/>
      </w:tblGrid>
      <w:tr>
        <w:trPr>
          <w:tblHeader/>
        </w:trPr>
        <w:tc>
          <w:tcPr>
            <w:tcW w:type="dxa" w:w="16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Phase</w:t>
            </w:r>
          </w:p>
        </w:tc>
        <w:tc>
          <w:tcPr>
            <w:tcW w:type="dxa" w:w="16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Timeline</w:t>
            </w:r>
          </w:p>
        </w:tc>
        <w:tc>
          <w:tcPr>
            <w:tcW w:type="dxa" w:w="33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Deliverables</w:t>
            </w:r>
          </w:p>
        </w:tc>
        <w:tc>
          <w:tcPr>
            <w:tcW w:type="dxa" w:w="2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Dependencies</w:t>
            </w:r>
          </w:p>
        </w:tc>
      </w:tr>
      <w:tr>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Phase 0: Data Foundation</w:t>
            </w:r>
          </w:p>
        </w:tc>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Sprints 1–4 (Current)</w:t>
            </w:r>
          </w:p>
        </w:tc>
        <w:tc>
          <w:tcPr>
            <w:tcW w:type="dxa" w:w="3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Ensure all real-study data is stored in twin-compatible format. Add opt-in consent flags for twin calibration. No twin features visible to users yet.</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Core platform Sprint 1–4 completion. BullMQ event pipeline.</w:t>
            </w:r>
          </w:p>
        </w:tc>
      </w:tr>
      <w:tr>
        <w:tc>
          <w:tcPr>
            <w:tcW w:type="dxa" w:w="1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Phase 1: Internal Alpha</w:t>
            </w:r>
          </w:p>
        </w:tc>
        <w:tc>
          <w:tcPr>
            <w:tcW w:type="dxa" w:w="1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Sprints 5–7</w:t>
            </w:r>
          </w:p>
        </w:tc>
        <w:tc>
          <w:tcPr>
            <w:tcW w:type="dxa" w:w="3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Basic twin engine with 3 pre-built MENA segments (Gulf Urban Professional, Egyptian Middle Class, Saudi Family Unit). Internal testing only. Accuracy benchmarking against completed real studies.</w:t>
            </w:r>
          </w:p>
        </w:tc>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LLM API integration. Arabic prompt engineering library. Twin database tables.</w:t>
            </w:r>
          </w:p>
        </w:tc>
      </w:tr>
      <w:tr>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Phase 2: Researcher Beta</w:t>
            </w:r>
          </w:p>
        </w:tc>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Sprints 8–10</w:t>
            </w:r>
          </w:p>
        </w:tc>
        <w:tc>
          <w:tcPr>
            <w:tcW w:type="dxa" w:w="3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Invite 5–10 trusted agency research leads to test. Synthetic Lab tab visible in UI. Pre-study exploration mode only. Accuracy dashboard live.</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Phase 1 accuracy validation (minimum 70% threshold). Beta user agreements.</w:t>
            </w:r>
          </w:p>
        </w:tc>
      </w:tr>
      <w:tr>
        <w:tc>
          <w:tcPr>
            <w:tcW w:type="dxa" w:w="1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Phase 3: Limited GA</w:t>
            </w:r>
          </w:p>
        </w:tc>
        <w:tc>
          <w:tcPr>
            <w:tcW w:type="dxa" w:w="1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Sprints 11–14</w:t>
            </w:r>
          </w:p>
        </w:tc>
        <w:tc>
          <w:tcPr>
            <w:tcW w:type="dxa" w:w="3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Explorer and Professional tiers available. All three modes operational (pre-study, parallel, post-study). 8+ MENA segments. Ramadan mode. Export integration.</w:t>
            </w:r>
          </w:p>
        </w:tc>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Beta feedback incorporated. Pricing validated. Accuracy consistently &gt;70%.</w:t>
            </w:r>
          </w:p>
        </w:tc>
      </w:tr>
      <w:tr>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Phase 4: Full GA + Calibration Flywheel</w:t>
            </w:r>
          </w:p>
        </w:tc>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Sprints 15–18</w:t>
            </w:r>
          </w:p>
        </w:tc>
        <w:tc>
          <w:tcPr>
            <w:tcW w:type="dxa" w:w="3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Enterprise tier. Custom twin models. API access for white-label partners. Calibration pipeline fully automated. Accuracy trending &gt;80% for established segments.</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Sufficient calibration data volume. Enterprise sales motion.</w:t>
            </w:r>
          </w:p>
        </w:tc>
      </w:tr>
      <w:tr>
        <w:tc>
          <w:tcPr>
            <w:tcW w:type="dxa" w:w="1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Phase 5: Market Leadership</w:t>
            </w:r>
          </w:p>
        </w:tc>
        <w:tc>
          <w:tcPr>
            <w:tcW w:type="dxa" w:w="1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Sprints 19–24</w:t>
            </w:r>
          </w:p>
        </w:tc>
        <w:tc>
          <w:tcPr>
            <w:tcW w:type="dxa" w:w="3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MENA Benchmarking Database integration with twins. Twin-as-a-Service API. Expansion to emerging market segments (South Asia, Africa). AI Focus Group Simulation powered by calibrated twins.</w:t>
            </w:r>
          </w:p>
        </w:tc>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MENA benchmark database maturity. Regulatory compliance framework.</w:t>
            </w:r>
          </w:p>
        </w:tc>
      </w:tr>
    </w:tbl>
    <w:p>
      <w:r>
        <w:br w:type="page"/>
      </w:r>
    </w:p>
    <w:p>
      <w:pPr>
        <w:pStyle w:val="Heading1"/>
      </w:pPr>
      <w:r>
        <w:t xml:space="preserve">10. Strategic Scoring: Digital Twin Feature Assessment</w:t>
      </w:r>
    </w:p>
    <w:p>
      <w:pPr>
        <w:spacing w:after="120" w:line="276"/>
      </w:pPr>
      <w:r>
        <w:t xml:space="preserve">Using the same 6-dimension scoring framework applied to InsightForge’s three platform-defining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rPr>
          <w:tblHeader/>
        </w:trPr>
        <w:tc>
          <w:tcPr>
            <w:tcW w:type="dxa" w:w="2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Dimension</w:t>
            </w:r>
          </w:p>
        </w:tc>
        <w:tc>
          <w:tcPr>
            <w:tcW w:type="dxa" w:w="1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Score (1–6)</w:t>
            </w:r>
          </w:p>
        </w:tc>
        <w:tc>
          <w:tcPr>
            <w:tcW w:type="dxa" w:w="61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Rationale</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PMF Acceleration</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5</w:t>
            </w:r>
          </w:p>
        </w:tc>
        <w:tc>
          <w:tcPr>
            <w:tcW w:type="dxa" w:w="6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Not PMF-blocking (core platform works without it) but dramatically increases value proposition for MENA ad agency research leads. Transforms pitch from “research tool” to “insight prediction platform.”</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MENA Moat</w:t>
            </w:r>
          </w:p>
        </w:tc>
        <w:tc>
          <w:tcPr>
            <w:tcW w:type="dxa" w:w="1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6</w:t>
            </w:r>
          </w:p>
        </w:tc>
        <w:tc>
          <w:tcPr>
            <w:tcW w:type="dxa" w:w="6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Strongest possible MENA moat. Arabic-native cognition, Islamic decision frameworks, and MENA behavioral models are impossible for Western competitors to replicate without years of cultural immersion and data collection.</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Data Moat</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6</w:t>
            </w:r>
          </w:p>
        </w:tc>
        <w:tc>
          <w:tcPr>
            <w:tcW w:type="dxa" w:w="6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Creates a self-reinforcing data flywheel: real studies train twins, twin predictions are validated against future real studies, calibration data compounds over time. The longer we operate, the harder it is to catch up.</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Workflow Stickiness</w:t>
            </w:r>
          </w:p>
        </w:tc>
        <w:tc>
          <w:tcPr>
            <w:tcW w:type="dxa" w:w="1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5</w:t>
            </w:r>
          </w:p>
        </w:tc>
        <w:tc>
          <w:tcPr>
            <w:tcW w:type="dxa" w:w="6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Once researchers integrate twin pre-testing into their workflow, switching costs are enormous. Discussion guides optimized by twins, screener criteria refined by twins, client presentations informed by twins — all become dependent on the platform.</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Revenue Potential</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5</w:t>
            </w:r>
          </w:p>
        </w:tc>
        <w:tc>
          <w:tcPr>
            <w:tcW w:type="dxa" w:w="6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Premium add-on pricing ($500–$15,000/month) with 75–90% margins. LLM API costs are low relative to pricing. Upsell path from Explorer to Enterprise is clear.</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Technical Feasibility</w:t>
            </w:r>
          </w:p>
        </w:tc>
        <w:tc>
          <w:tcPr>
            <w:tcW w:type="dxa" w:w="1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4</w:t>
            </w:r>
          </w:p>
        </w:tc>
        <w:tc>
          <w:tcPr>
            <w:tcW w:type="dxa" w:w="6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LLM APIs make basic twin functionality achievable. MENA cultural modeling adds complexity. Arabic NLP maturity is a constraint. Calibration pipeline is novel engineering. Phase 0 data work aligns with existing Sprint 1–4 efforts.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12"/>
              <w:bottom w:val="single" w:color="27AE60" w:sz="1"/>
              <w:right w:val="single" w:color="27AE60" w:sz="1"/>
            </w:tcBorders>
            <w:shd w:fill="E8F8F5" w:val="clear"/>
            <w:tcMar>
              <w:top w:type="dxa" w:w="120"/>
              <w:left w:type="dxa" w:w="200"/>
              <w:bottom w:type="dxa" w:w="120"/>
              <w:right w:type="dxa" w:w="200"/>
            </w:tcMar>
          </w:tcPr>
          <w:p>
            <w:pPr>
              <w:spacing w:after="80"/>
            </w:pPr>
            <w:r>
              <w:rPr>
                <w:rFonts w:ascii="Arial" w:cs="Arial" w:eastAsia="Arial" w:hAnsi="Arial"/>
                <w:b/>
                <w:bCs/>
                <w:color w:val="27AE60"/>
                <w:sz w:val="22"/>
                <w:szCs w:val="22"/>
              </w:rPr>
              <w:t xml:space="preserve">COMPOSITE SCORE: 31/36 (86%)</w:t>
            </w:r>
          </w:p>
          <w:p>
            <w:pPr>
              <w:spacing w:after="60" w:line="276"/>
            </w:pPr>
            <w:r>
              <w:rPr>
                <w:rFonts w:ascii="Arial" w:cs="Arial" w:eastAsia="Arial" w:hAnsi="Arial"/>
                <w:color w:val="2C3E50"/>
                <w:sz w:val="20"/>
                <w:szCs w:val="20"/>
              </w:rPr>
              <w:t xml:space="preserve">This scores higher than any individual feature previously assessed. The combination of MENA moat (6/6) and data moat (6/6) makes this the most strategically significant feature in InsightForge’s pipeline. However, the slightly lower technical feasibility (4/6) reflects the real complexity of MENA-specific Arabic NLP and the novelty of the calibration pipeline. This is a feature that should be built methodically (phased roadmap), not rushed.</w:t>
            </w:r>
          </w:p>
        </w:tc>
      </w:tr>
    </w:tbl>
    <w:p>
      <w:r>
        <w:br w:type="page"/>
      </w:r>
    </w:p>
    <w:p>
      <w:pPr>
        <w:pStyle w:val="Heading1"/>
      </w:pPr>
      <w:r>
        <w:t xml:space="preserve">11. Connections to Existing Platform-Defining Features</w:t>
      </w:r>
    </w:p>
    <w:p>
      <w:pPr>
        <w:spacing w:after="120" w:line="276"/>
      </w:pPr>
      <w:r>
        <w:t xml:space="preserve">The Digital Twin capability amplifies the three previously identified platform-defining features without overlapping or replacing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Existing Feature</w:t>
            </w:r>
          </w:p>
        </w:tc>
        <w:tc>
          <w:tcPr>
            <w:tcW w:type="dxa" w:w="4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How Twins Amplify It</w:t>
            </w:r>
          </w:p>
        </w:tc>
        <w:tc>
          <w:tcPr>
            <w:tcW w:type="dxa" w:w="31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Integration Point</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AI Participant Finder &amp; Smart Matching</w:t>
            </w:r>
          </w:p>
        </w:tc>
        <w:tc>
          <w:tcPr>
            <w:tcW w:type="dxa" w:w="4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Twins can pre-simulate which participant profiles will yield the richest insights for a given study, improving the Participant Finder’s recommendations. Twin outputs inform optimal screener criteria.</w:t>
            </w:r>
          </w:p>
        </w:tc>
        <w:tc>
          <w:tcPr>
            <w:tcW w:type="dxa" w:w="3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Twin simulation results feed into the matching algorithm’s weighting system.</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AI Focus Group Simulation</w:t>
            </w:r>
          </w:p>
        </w:tc>
        <w:tc>
          <w:tcPr>
            <w:tcW w:type="dxa" w:w="4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The Focus Group Simulation feature (hypothesis generation and discussion guide prep) becomes powered by calibrated twins instead of generic AI. Twins grounded in real MENA data produce dramatically more realistic group dynamics simulations.</w:t>
            </w:r>
          </w:p>
        </w:tc>
        <w:tc>
          <w:tcPr>
            <w:tcW w:type="dxa" w:w="3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Focus Group Simulation consumes twin personas as its participant inputs. Calibration data improves simulation fidelity.</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MENA Benchmarking Database</w:t>
            </w:r>
          </w:p>
        </w:tc>
        <w:tc>
          <w:tcPr>
            <w:tcW w:type="dxa" w:w="4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Benchmark data trains twins. Twin predictions surface gaps in benchmark coverage. The two features create a mutual reinforcement loop that accelerates both the benchmark’s comprehensiveness and the twins’ accuracy.</w:t>
            </w:r>
          </w:p>
        </w:tc>
        <w:tc>
          <w:tcPr>
            <w:tcW w:type="dxa" w:w="3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Benchmark normative data becomes a calibration layer in the twin prompt stack. Twin accuracy scores feed back into benchmark confidence intervals.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2"/>
              <w:bottom w:val="single" w:color="2E86C1" w:sz="1"/>
              <w:right w:val="single" w:color="2E86C1" w:sz="1"/>
            </w:tcBorders>
            <w:shd w:fill="EBF5FB" w:val="clear"/>
            <w:tcMar>
              <w:top w:type="dxa" w:w="120"/>
              <w:left w:type="dxa" w:w="200"/>
              <w:bottom w:type="dxa" w:w="120"/>
              <w:right w:type="dxa" w:w="200"/>
            </w:tcMar>
          </w:tcPr>
          <w:p>
            <w:pPr>
              <w:spacing w:after="80"/>
            </w:pPr>
            <w:r>
              <w:rPr>
                <w:rFonts w:ascii="Arial" w:cs="Arial" w:eastAsia="Arial" w:hAnsi="Arial"/>
                <w:b/>
                <w:bCs/>
                <w:color w:val="2E86C1"/>
                <w:sz w:val="22"/>
                <w:szCs w:val="22"/>
              </w:rPr>
              <w:t xml:space="preserve">VP PRODUCT — STRATEGIC SYNTHESIS</w:t>
            </w:r>
          </w:p>
          <w:p>
            <w:pPr>
              <w:spacing w:after="60" w:line="276"/>
            </w:pPr>
            <w:r>
              <w:rPr>
                <w:rFonts w:ascii="Arial" w:cs="Arial" w:eastAsia="Arial" w:hAnsi="Arial"/>
                <w:color w:val="2C3E50"/>
                <w:sz w:val="20"/>
                <w:szCs w:val="20"/>
              </w:rPr>
              <w:t xml:space="preserve">When we view the four features together (Participant Finder, Focus Group Simulation, MENA Benchmarks, and now Digital Twins), a coherent platform vision emerges. InsightForge isn’t just a research execution tool. It’s an insight prediction and validation engine where AI accelerates every stage of the research lifecycle, real participants provide the ground truth, and MENA cultural intelligence is woven into every layer. No competitor is building this full stack. Qualtrics has synthetic but no MENA focus. Simile has twins but no real-participant execution. Ditto has coverage but no calibration data. InsightForge is the only platform that can offer the complete hybrid loop.</w:t>
            </w:r>
          </w:p>
        </w:tc>
      </w:tr>
    </w:tbl>
    <w:p>
      <w:r>
        <w:br w:type="page"/>
      </w:r>
    </w:p>
    <w:p>
      <w:pPr>
        <w:pStyle w:val="Heading1"/>
      </w:pPr>
      <w:r>
        <w:t xml:space="preserve">12. Open Questions for Further Exploration</w:t>
      </w:r>
    </w:p>
    <w:p>
      <w:pPr>
        <w:spacing w:after="120" w:line="276"/>
      </w:pPr>
      <w:r>
        <w:t xml:space="preserve">This brainstorming session has surfaced several critical questions that require further investigation before moving to formal product specification:</w:t>
      </w:r>
    </w:p>
    <w:p>
      <w:pPr>
        <w:spacing w:after="120" w:line="276"/>
      </w:pPr>
      <w:r>
        <w:rPr>
          <w:rFonts w:ascii="Arial" w:cs="Arial" w:eastAsia="Arial" w:hAnsi="Arial"/>
          <w:b/>
          <w:bCs/>
          <w:sz w:val="22"/>
          <w:szCs w:val="22"/>
        </w:rPr>
        <w:t xml:space="preserve">Data Ethics &amp; Consent: </w:t>
      </w:r>
      <w:r>
        <w:rPr>
          <w:rFonts w:ascii="Arial" w:cs="Arial" w:eastAsia="Arial" w:hAnsi="Arial"/>
          <w:sz w:val="22"/>
          <w:szCs w:val="22"/>
        </w:rPr>
        <w:t xml:space="preserve">What consent framework is required to use real-participant study data for twin calibration? How do MENA data sovereignty laws (Saudi PDPL, UAE Data Protection Law, Egypt’s PDPL) affect cross-border twin training? Should participants be compensated when their data improves twins?</w:t>
      </w:r>
    </w:p>
    <w:p>
      <w:pPr>
        <w:spacing w:after="40"/>
      </w:pPr>
    </w:p>
    <w:p>
      <w:pPr>
        <w:spacing w:after="120" w:line="276"/>
      </w:pPr>
      <w:r>
        <w:rPr>
          <w:rFonts w:ascii="Arial" w:cs="Arial" w:eastAsia="Arial" w:hAnsi="Arial"/>
          <w:b/>
          <w:bCs/>
          <w:sz w:val="22"/>
          <w:szCs w:val="22"/>
        </w:rPr>
        <w:t xml:space="preserve">Arabic Dialect Coverage Priority: </w:t>
      </w:r>
      <w:r>
        <w:rPr>
          <w:rFonts w:ascii="Arial" w:cs="Arial" w:eastAsia="Arial" w:hAnsi="Arial"/>
          <w:sz w:val="22"/>
          <w:szCs w:val="22"/>
        </w:rPr>
        <w:t xml:space="preserve">With limited resources, which Arabic dialects should be prioritized first? Gulf Arabic (highest commercial value) vs. Egyptian Arabic (largest population) vs. MSA (broadest coverage but lowest cultural fidelity)?</w:t>
      </w:r>
    </w:p>
    <w:p>
      <w:pPr>
        <w:spacing w:after="40"/>
      </w:pPr>
    </w:p>
    <w:p>
      <w:pPr>
        <w:spacing w:after="120" w:line="276"/>
      </w:pPr>
      <w:r>
        <w:rPr>
          <w:rFonts w:ascii="Arial" w:cs="Arial" w:eastAsia="Arial" w:hAnsi="Arial"/>
          <w:b/>
          <w:bCs/>
          <w:sz w:val="22"/>
          <w:szCs w:val="22"/>
        </w:rPr>
        <w:t xml:space="preserve">Accuracy Threshold Governance: </w:t>
      </w:r>
      <w:r>
        <w:rPr>
          <w:rFonts w:ascii="Arial" w:cs="Arial" w:eastAsia="Arial" w:hAnsi="Arial"/>
          <w:sz w:val="22"/>
          <w:szCs w:val="22"/>
        </w:rPr>
        <w:t xml:space="preserve">Who decides the minimum accuracy threshold for twin GA launch? What happens if accuracy degrades over time? Should there be automatic circuit-breakers that disable twin features if accuracy drops below threshold?</w:t>
      </w:r>
    </w:p>
    <w:p>
      <w:pPr>
        <w:spacing w:after="40"/>
      </w:pPr>
    </w:p>
    <w:p>
      <w:pPr>
        <w:spacing w:after="120" w:line="276"/>
      </w:pPr>
      <w:r>
        <w:rPr>
          <w:rFonts w:ascii="Arial" w:cs="Arial" w:eastAsia="Arial" w:hAnsi="Arial"/>
          <w:b/>
          <w:bCs/>
          <w:sz w:val="22"/>
          <w:szCs w:val="22"/>
        </w:rPr>
        <w:t xml:space="preserve">Competitive Response Planning: </w:t>
      </w:r>
      <w:r>
        <w:rPr>
          <w:rFonts w:ascii="Arial" w:cs="Arial" w:eastAsia="Arial" w:hAnsi="Arial"/>
          <w:sz w:val="22"/>
          <w:szCs w:val="22"/>
        </w:rPr>
        <w:t xml:space="preserve">If Simile or Ditto announce MENA expansion, how does our timeline accelerate? What’s our response playbook?</w:t>
      </w:r>
    </w:p>
    <w:p>
      <w:pPr>
        <w:spacing w:after="40"/>
      </w:pPr>
    </w:p>
    <w:p>
      <w:pPr>
        <w:spacing w:after="120" w:line="276"/>
      </w:pPr>
      <w:r>
        <w:rPr>
          <w:rFonts w:ascii="Arial" w:cs="Arial" w:eastAsia="Arial" w:hAnsi="Arial"/>
          <w:b/>
          <w:bCs/>
          <w:sz w:val="22"/>
          <w:szCs w:val="22"/>
        </w:rPr>
        <w:t xml:space="preserve">Client Education Strategy: </w:t>
      </w:r>
      <w:r>
        <w:rPr>
          <w:rFonts w:ascii="Arial" w:cs="Arial" w:eastAsia="Arial" w:hAnsi="Arial"/>
          <w:sz w:val="22"/>
          <w:szCs w:val="22"/>
        </w:rPr>
        <w:t xml:space="preserve">How do we educate MENA agency research leads about synthetic research without triggering the “fake data” objection? What case studies and proof points do we need before going to market?</w:t>
      </w:r>
    </w:p>
    <w:p>
      <w:pPr>
        <w:spacing w:after="40"/>
      </w:pPr>
    </w:p>
    <w:p>
      <w:pPr>
        <w:spacing w:after="120" w:line="276"/>
      </w:pPr>
      <w:r>
        <w:rPr>
          <w:rFonts w:ascii="Arial" w:cs="Arial" w:eastAsia="Arial" w:hAnsi="Arial"/>
          <w:b/>
          <w:bCs/>
          <w:sz w:val="22"/>
          <w:szCs w:val="22"/>
        </w:rPr>
        <w:t xml:space="preserve">Regulatory Proactivity: </w:t>
      </w:r>
      <w:r>
        <w:rPr>
          <w:rFonts w:ascii="Arial" w:cs="Arial" w:eastAsia="Arial" w:hAnsi="Arial"/>
          <w:sz w:val="22"/>
          <w:szCs w:val="22"/>
        </w:rPr>
        <w:t xml:space="preserve">Should InsightForge proactively engage with MENA regulators on synthetic research guidelines to shape the regulatory environment rather than react to it?</w:t>
      </w:r>
    </w:p>
    <w:p>
      <w:pPr>
        <w:spacing w:after="40"/>
      </w:pPr>
    </w:p>
    <w:p>
      <w:pPr>
        <w:spacing w:after="120" w:line="276"/>
      </w:pPr>
      <w:r>
        <w:rPr>
          <w:rFonts w:ascii="Arial" w:cs="Arial" w:eastAsia="Arial" w:hAnsi="Arial"/>
          <w:b/>
          <w:bCs/>
          <w:sz w:val="22"/>
          <w:szCs w:val="22"/>
        </w:rPr>
        <w:t xml:space="preserve">Intellectual Property: </w:t>
      </w:r>
      <w:r>
        <w:rPr>
          <w:rFonts w:ascii="Arial" w:cs="Arial" w:eastAsia="Arial" w:hAnsi="Arial"/>
          <w:sz w:val="22"/>
          <w:szCs w:val="22"/>
        </w:rPr>
        <w:t xml:space="preserve">Can the MENA cultural modeling framework (prompt engineering patterns, cultural parameter taxonomy, calibration methodology) be patented or otherwise IP-protected?</w:t>
      </w:r>
    </w:p>
    <w:p>
      <w:pPr>
        <w:spacing w:after="40"/>
      </w:pPr>
    </w:p>
    <w:p>
      <w:pPr>
        <w:spacing w:after="120" w:line="276"/>
      </w:pPr>
      <w:r>
        <w:rPr>
          <w:rFonts w:ascii="Arial" w:cs="Arial" w:eastAsia="Arial" w:hAnsi="Arial"/>
          <w:b/>
          <w:bCs/>
          <w:sz w:val="22"/>
          <w:szCs w:val="22"/>
        </w:rPr>
        <w:t xml:space="preserve">Ethical Boundaries: </w:t>
      </w:r>
      <w:r>
        <w:rPr>
          <w:rFonts w:ascii="Arial" w:cs="Arial" w:eastAsia="Arial" w:hAnsi="Arial"/>
          <w:sz w:val="22"/>
          <w:szCs w:val="22"/>
        </w:rPr>
        <w:t xml:space="preserve">What types of research should twins be explicitly prohibited from? Health outcomes? Political polling? Financial advice? What guardrails prevent misuse?</w:t>
      </w:r>
    </w:p>
    <w:p>
      <w:pPr>
        <w:spacing w:after="40"/>
      </w:pPr>
    </w:p>
    <w:p>
      <w:r>
        <w:br w:type="page"/>
      </w:r>
    </w:p>
    <w:p>
      <w:pPr>
        <w:pStyle w:val="Heading1"/>
      </w:pPr>
      <w:r>
        <w:t xml:space="preserve">13. Conclusions &amp; Recommendations</w:t>
      </w:r>
    </w:p>
    <w:p>
      <w:pPr>
        <w:spacing w:after="120" w:line="276"/>
      </w:pPr>
      <w:r>
        <w:t xml:space="preserve">After deep research into the 2026 synthetic consumer research landscape and collaborative brainstorming across all four leadership perspectives, we unanimously recommend proceeding with the Digital Consumer Twin capability as a phased, additive feature layer. Here are our key conclusions:</w:t>
      </w:r>
    </w:p>
    <w:p>
      <w:pPr>
        <w:spacing w:after="120" w:line="276"/>
      </w:pPr>
      <w:r>
        <w:rPr>
          <w:rFonts w:ascii="Arial" w:cs="Arial" w:eastAsia="Arial" w:hAnsi="Arial"/>
          <w:b/>
          <w:bCs/>
          <w:sz w:val="22"/>
          <w:szCs w:val="22"/>
        </w:rPr>
        <w:t xml:space="preserve">1. </w:t>
      </w:r>
      <w:r>
        <w:rPr>
          <w:rFonts w:ascii="Arial" w:cs="Arial" w:eastAsia="Arial" w:hAnsi="Arial"/>
          <w:sz w:val="22"/>
          <w:szCs w:val="22"/>
        </w:rPr>
        <w:t xml:space="preserve">The market is real and moving fast. Hundreds of millions in VC funding and Simile’s $100M raise confirm that digital consumer twins are not speculative — they are the next platform shift in market research.</w:t>
      </w:r>
    </w:p>
    <w:p>
      <w:pPr>
        <w:spacing w:after="120" w:line="276"/>
      </w:pPr>
      <w:r>
        <w:rPr>
          <w:rFonts w:ascii="Arial" w:cs="Arial" w:eastAsia="Arial" w:hAnsi="Arial"/>
          <w:b/>
          <w:bCs/>
          <w:sz w:val="22"/>
          <w:szCs w:val="22"/>
        </w:rPr>
        <w:t xml:space="preserve">2. </w:t>
      </w:r>
      <w:r>
        <w:rPr>
          <w:rFonts w:ascii="Arial" w:cs="Arial" w:eastAsia="Arial" w:hAnsi="Arial"/>
          <w:sz w:val="22"/>
          <w:szCs w:val="22"/>
        </w:rPr>
        <w:t xml:space="preserve">The MENA opportunity is uncontested. No significant competitor is building culturally-grounded MENA digital twins. This window will not remain open indefinitely, but InsightForge’s head start in MENA market understanding gives us 12–18 months of advantage.</w:t>
      </w:r>
    </w:p>
    <w:p>
      <w:pPr>
        <w:spacing w:after="120" w:line="276"/>
      </w:pPr>
      <w:r>
        <w:rPr>
          <w:rFonts w:ascii="Arial" w:cs="Arial" w:eastAsia="Arial" w:hAnsi="Arial"/>
          <w:b/>
          <w:bCs/>
          <w:sz w:val="22"/>
          <w:szCs w:val="22"/>
        </w:rPr>
        <w:t xml:space="preserve">3. </w:t>
      </w:r>
      <w:r>
        <w:rPr>
          <w:rFonts w:ascii="Arial" w:cs="Arial" w:eastAsia="Arial" w:hAnsi="Arial"/>
          <w:sz w:val="22"/>
          <w:szCs w:val="22"/>
        </w:rPr>
        <w:t xml:space="preserve">The hybrid model is our structural moat. The combination of real-participant research and synthetic twins within a single platform creates a calibration flywheel that pure-play competitors cannot replicate. This is a compounding advantage.</w:t>
      </w:r>
    </w:p>
    <w:p>
      <w:pPr>
        <w:spacing w:after="120" w:line="276"/>
      </w:pPr>
      <w:r>
        <w:rPr>
          <w:rFonts w:ascii="Arial" w:cs="Arial" w:eastAsia="Arial" w:hAnsi="Arial"/>
          <w:b/>
          <w:bCs/>
          <w:sz w:val="22"/>
          <w:szCs w:val="22"/>
        </w:rPr>
        <w:t xml:space="preserve">4. </w:t>
      </w:r>
      <w:r>
        <w:rPr>
          <w:rFonts w:ascii="Arial" w:cs="Arial" w:eastAsia="Arial" w:hAnsi="Arial"/>
          <w:sz w:val="22"/>
          <w:szCs w:val="22"/>
        </w:rPr>
        <w:t xml:space="preserve">The technology is feasible today. LLM APIs, Arabic NLP tools, and the existing InsightForge architecture provide a viable foundation. The primary technical challenge is MENA cultural modeling, which is a domain expertise problem, not a technology problem.</w:t>
      </w:r>
    </w:p>
    <w:p>
      <w:pPr>
        <w:spacing w:after="120" w:line="276"/>
      </w:pPr>
      <w:r>
        <w:rPr>
          <w:rFonts w:ascii="Arial" w:cs="Arial" w:eastAsia="Arial" w:hAnsi="Arial"/>
          <w:b/>
          <w:bCs/>
          <w:sz w:val="22"/>
          <w:szCs w:val="22"/>
        </w:rPr>
        <w:t xml:space="preserve">5. </w:t>
      </w:r>
      <w:r>
        <w:rPr>
          <w:rFonts w:ascii="Arial" w:cs="Arial" w:eastAsia="Arial" w:hAnsi="Arial"/>
          <w:sz w:val="22"/>
          <w:szCs w:val="22"/>
        </w:rPr>
        <w:t xml:space="preserve">The existing platform is not affected. Every design decision in this document respects the additive-only principle. Existing workflows, database schemas, and UI patterns remain unchanged. The Digital Twin is a new module, not a refactor.</w:t>
      </w:r>
    </w:p>
    <w:p>
      <w:pPr>
        <w:spacing w:after="120" w:line="276"/>
      </w:pPr>
      <w:r>
        <w:rPr>
          <w:rFonts w:ascii="Arial" w:cs="Arial" w:eastAsia="Arial" w:hAnsi="Arial"/>
          <w:b/>
          <w:bCs/>
          <w:sz w:val="22"/>
          <w:szCs w:val="22"/>
        </w:rPr>
        <w:t xml:space="preserve">6. </w:t>
      </w:r>
      <w:r>
        <w:rPr>
          <w:rFonts w:ascii="Arial" w:cs="Arial" w:eastAsia="Arial" w:hAnsi="Arial"/>
          <w:sz w:val="22"/>
          <w:szCs w:val="22"/>
        </w:rPr>
        <w:t xml:space="preserve">Phase 0 work starts now and is free. The data collection infrastructure improvements needed for twin calibration (consent flags, structured data storage, BullMQ event processing) are already aligned with Sprint 1–4 work and benefit the core platform regardless of twin feature timing.</w:t>
      </w:r>
    </w:p>
    <w:p>
      <w:pPr>
        <w:spacing w:after="120" w:line="276"/>
      </w:pPr>
      <w:r>
        <w:rPr>
          <w:rFonts w:ascii="Arial" w:cs="Arial" w:eastAsia="Arial" w:hAnsi="Arial"/>
          <w:b/>
          <w:bCs/>
          <w:sz w:val="22"/>
          <w:szCs w:val="22"/>
        </w:rPr>
        <w:t xml:space="preserve">7. </w:t>
      </w:r>
      <w:r>
        <w:rPr>
          <w:rFonts w:ascii="Arial" w:cs="Arial" w:eastAsia="Arial" w:hAnsi="Arial"/>
          <w:sz w:val="22"/>
          <w:szCs w:val="22"/>
        </w:rPr>
        <w:t xml:space="preserve">Revenue potential is significant. Premium add-on pricing at 75–90% margins, with a clear upsell path from $500/month Explorer to $15,000/month Enterprise, represents a material new revenue stream that reinforces — rather than cannibalizes — existing subscription revenue.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12"/>
              <w:bottom w:val="single" w:color="27AE60" w:sz="1"/>
              <w:right w:val="single" w:color="27AE60" w:sz="1"/>
            </w:tcBorders>
            <w:shd w:fill="E8F8F5" w:val="clear"/>
            <w:tcMar>
              <w:top w:type="dxa" w:w="120"/>
              <w:left w:type="dxa" w:w="200"/>
              <w:bottom w:type="dxa" w:w="120"/>
              <w:right w:type="dxa" w:w="200"/>
            </w:tcMar>
          </w:tcPr>
          <w:p>
            <w:pPr>
              <w:spacing w:after="80"/>
            </w:pPr>
            <w:r>
              <w:rPr>
                <w:rFonts w:ascii="Arial" w:cs="Arial" w:eastAsia="Arial" w:hAnsi="Arial"/>
                <w:b/>
                <w:bCs/>
                <w:color w:val="27AE60"/>
                <w:sz w:val="22"/>
                <w:szCs w:val="22"/>
              </w:rPr>
              <w:t xml:space="preserve">FINAL STATEMENT FROM ALL FOUR PERSPECTIVES</w:t>
            </w:r>
          </w:p>
          <w:p>
            <w:pPr>
              <w:spacing w:after="60" w:line="276"/>
            </w:pPr>
            <w:r>
              <w:rPr>
                <w:rFonts w:ascii="Arial" w:cs="Arial" w:eastAsia="Arial" w:hAnsi="Arial"/>
                <w:color w:val="2C3E50"/>
                <w:sz w:val="20"/>
                <w:szCs w:val="20"/>
              </w:rPr>
              <w:t xml:space="preserve">Digital Consumer Twins represent the single highest-impact additive feature in InsightForge’s pipeline, scoring 31/36 across all strategic dimensions. The MENA-first approach creates an uncopyable moat. The hybrid real+synthetic model creates a compounding data advantage. And the phased implementation approach respects both the existing platform’s integrity and the team’s current Sprint 1 priorities.</w:t>
            </w:r>
          </w:p>
          <w:p>
            <w:pPr>
              <w:spacing w:after="60" w:line="276"/>
            </w:pPr>
            <w:r>
              <w:rPr>
                <w:rFonts w:ascii="Arial" w:cs="Arial" w:eastAsia="Arial" w:hAnsi="Arial"/>
                <w:color w:val="2C3E50"/>
                <w:sz w:val="20"/>
                <w:szCs w:val="20"/>
              </w:rPr>
              <w:t xml:space="preserve"/>
            </w:r>
          </w:p>
          <w:p>
            <w:pPr>
              <w:spacing w:after="60" w:line="276"/>
            </w:pPr>
            <w:r>
              <w:rPr>
                <w:rFonts w:ascii="Arial" w:cs="Arial" w:eastAsia="Arial" w:hAnsi="Arial"/>
                <w:color w:val="2C3E50"/>
                <w:sz w:val="20"/>
                <w:szCs w:val="20"/>
              </w:rPr>
              <w:t xml:space="preserve">This is not a pivot. This is not a rebuild. This is the natural evolution of InsightForge’s vision: from research execution platform to insight prediction engine. The focus group of the future isn’t the death of real participants — it’s real participants amplified by their digital twins.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2" w:space="4"/>
      </w:pBdr>
      <w:tabs>
        <w:tab w:val="right" w:pos="9026"/>
      </w:tabs>
    </w:pPr>
    <w:r>
      <w:rPr>
        <w:rFonts w:ascii="Arial" w:cs="Arial" w:eastAsia="Arial" w:hAnsi="Arial"/>
        <w:color w:val="D5D8DC"/>
        <w:sz w:val="16"/>
        <w:szCs w:val="16"/>
      </w:rPr>
      <w:t xml:space="preserve">Confidential — InsightForge Strategic Planning</w:t>
    </w:r>
    <w:r>
      <w:rPr>
        <w:rFonts w:ascii="Arial" w:cs="Arial" w:eastAsia="Arial" w:hAnsi="Arial"/>
        <w:color w:val="D5D8DC"/>
        <w:sz w:val="16"/>
        <w:szCs w:val="16"/>
      </w:rPr>
      <w:t xml:space="preserve">	Page </w:t>
    </w:r>
    <w:r>
      <w:rPr>
        <w:rFonts w:ascii="Arial" w:cs="Arial" w:eastAsia="Arial" w:hAnsi="Arial"/>
        <w:color w:val="D5D8D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2" w:space="4"/>
      </w:pBdr>
      <w:jc w:val="right"/>
    </w:pPr>
    <w:r>
      <w:rPr>
        <w:rFonts w:ascii="Arial" w:cs="Arial" w:eastAsia="Arial" w:hAnsi="Arial"/>
        <w:i/>
        <w:iCs/>
        <w:color w:val="D5D8DC"/>
        <w:sz w:val="16"/>
        <w:szCs w:val="16"/>
      </w:rPr>
      <w:t xml:space="preserve">InsightForge — Digital Consumer Twins Brainstorming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86C1" w:sz="6" w:space="4"/>
      </w:pBd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86C1"/>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2026-03-28T08:05:36.412Z</dcterms:created>
  <dcterms:modified xsi:type="dcterms:W3CDTF">2026-03-28T08:05:36.412Z</dcterms:modified>
</cp:coreProperties>
</file>

<file path=docProps/custom.xml><?xml version="1.0" encoding="utf-8"?>
<Properties xmlns="http://schemas.openxmlformats.org/officeDocument/2006/custom-properties" xmlns:vt="http://schemas.openxmlformats.org/officeDocument/2006/docPropsVTypes"/>
</file>